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0E7823">
      <w:pPr>
        <w:rPr>
          <w:rFonts w:hint="eastAsia" w:ascii="仿宋_GB2312" w:hAnsi="仿宋_GB2312" w:eastAsia="仿宋_GB2312" w:cs="仿宋_GB2312"/>
          <w:b/>
          <w:bCs/>
          <w:sz w:val="28"/>
          <w:szCs w:val="36"/>
          <w:lang w:val="en-US" w:eastAsia="zh-CN"/>
        </w:rPr>
      </w:pPr>
      <w:r>
        <w:rPr>
          <w:rFonts w:hint="eastAsia" w:ascii="仿宋_GB2312" w:hAnsi="仿宋_GB2312" w:eastAsia="仿宋_GB2312" w:cs="仿宋_GB2312"/>
          <w:b/>
          <w:bCs/>
          <w:sz w:val="28"/>
          <w:szCs w:val="36"/>
          <w:lang w:val="en-US" w:eastAsia="zh-CN"/>
        </w:rPr>
        <w:t>附件：3.</w:t>
      </w:r>
    </w:p>
    <w:p w14:paraId="2A7A595E">
      <w:pPr>
        <w:pStyle w:val="3"/>
        <w:bidi w:val="0"/>
        <w:jc w:val="center"/>
        <w:rPr>
          <w:rFonts w:hint="eastAsia"/>
          <w:lang w:val="en-US" w:eastAsia="zh-CN"/>
        </w:rPr>
      </w:pPr>
      <w:r>
        <w:rPr>
          <w:rFonts w:hint="eastAsia"/>
          <w:lang w:val="en-US" w:eastAsia="zh-CN"/>
        </w:rPr>
        <w:t>广州中医药大学第一附属医院中山医院</w:t>
      </w:r>
    </w:p>
    <w:p w14:paraId="472BED4B">
      <w:pPr>
        <w:pStyle w:val="3"/>
        <w:bidi w:val="0"/>
        <w:jc w:val="center"/>
        <w:rPr>
          <w:rFonts w:hint="eastAsia"/>
          <w:lang w:val="en-US" w:eastAsia="zh-CN"/>
        </w:rPr>
      </w:pPr>
      <w:r>
        <w:rPr>
          <w:rFonts w:hint="eastAsia"/>
          <w:lang w:val="en-US" w:eastAsia="zh-CN"/>
        </w:rPr>
        <w:t>谈判招标投标文件</w:t>
      </w:r>
    </w:p>
    <w:p w14:paraId="28FA8327">
      <w:pPr>
        <w:rPr>
          <w:rFonts w:hint="eastAsia"/>
          <w:lang w:val="en-US" w:eastAsia="zh-CN"/>
        </w:rPr>
      </w:pPr>
    </w:p>
    <w:p w14:paraId="2D3AD692">
      <w:pPr>
        <w:rPr>
          <w:rFonts w:hint="eastAsia"/>
          <w:lang w:val="en-US" w:eastAsia="zh-CN"/>
        </w:rPr>
      </w:pPr>
    </w:p>
    <w:p w14:paraId="6D9A09F0">
      <w:pPr>
        <w:rPr>
          <w:rFonts w:hint="eastAsia"/>
          <w:lang w:val="en-US" w:eastAsia="zh-CN"/>
        </w:rPr>
      </w:pPr>
    </w:p>
    <w:p w14:paraId="252EFE52">
      <w:pPr>
        <w:rPr>
          <w:rFonts w:hint="eastAsia"/>
          <w:lang w:val="en-US" w:eastAsia="zh-CN"/>
        </w:rPr>
      </w:pPr>
    </w:p>
    <w:p w14:paraId="27C3BDEE">
      <w:pPr>
        <w:rPr>
          <w:rFonts w:hint="eastAsia"/>
          <w:lang w:val="en-US" w:eastAsia="zh-CN"/>
        </w:rPr>
      </w:pPr>
    </w:p>
    <w:p w14:paraId="29099C28">
      <w:pPr>
        <w:rPr>
          <w:rFonts w:hint="eastAsia"/>
          <w:lang w:val="en-US" w:eastAsia="zh-CN"/>
        </w:rPr>
      </w:pPr>
    </w:p>
    <w:p w14:paraId="4DB0D324">
      <w:pPr>
        <w:rPr>
          <w:rFonts w:hint="eastAsia"/>
          <w:lang w:val="en-US" w:eastAsia="zh-CN"/>
        </w:rPr>
      </w:pPr>
    </w:p>
    <w:p w14:paraId="68BA1C0F">
      <w:pPr>
        <w:rPr>
          <w:rFonts w:hint="eastAsia"/>
          <w:lang w:val="en-US" w:eastAsia="zh-CN"/>
        </w:rPr>
      </w:pPr>
    </w:p>
    <w:p w14:paraId="5CD1708A">
      <w:pPr>
        <w:pStyle w:val="7"/>
        <w:spacing w:line="360" w:lineRule="auto"/>
        <w:ind w:left="0" w:leftChars="0" w:firstLine="1687" w:firstLineChars="600"/>
        <w:rPr>
          <w:rFonts w:hint="eastAsia" w:ascii="宋体" w:hAnsi="宋体"/>
          <w:b/>
          <w:szCs w:val="28"/>
          <w:u w:val="thick"/>
        </w:rPr>
      </w:pPr>
      <w:r>
        <w:rPr>
          <w:rStyle w:val="17"/>
          <w:rFonts w:hint="eastAsia"/>
          <w:b/>
          <w:bCs/>
        </w:rPr>
        <w:t>项目名称：</w:t>
      </w:r>
      <w:r>
        <w:rPr>
          <w:rFonts w:hint="eastAsia" w:ascii="宋体" w:hAnsi="宋体"/>
          <w:b/>
          <w:bCs/>
          <w:szCs w:val="28"/>
          <w:u w:val="single"/>
        </w:rPr>
        <w:t xml:space="preserve">      </w:t>
      </w:r>
      <w:r>
        <w:rPr>
          <w:rFonts w:hint="eastAsia" w:ascii="宋体" w:hAnsi="宋体"/>
          <w:b/>
          <w:szCs w:val="28"/>
          <w:u w:val="single"/>
        </w:rPr>
        <w:t xml:space="preserve">                     </w:t>
      </w:r>
    </w:p>
    <w:p w14:paraId="4F2B1029">
      <w:pPr>
        <w:pStyle w:val="7"/>
        <w:spacing w:line="360" w:lineRule="auto"/>
        <w:ind w:left="0" w:leftChars="0" w:firstLine="1687" w:firstLineChars="600"/>
        <w:rPr>
          <w:rFonts w:hint="eastAsia" w:ascii="宋体" w:hAnsi="宋体"/>
          <w:b/>
          <w:szCs w:val="28"/>
          <w:u w:val="thick"/>
        </w:rPr>
      </w:pPr>
      <w:r>
        <w:rPr>
          <w:rStyle w:val="17"/>
          <w:rFonts w:hint="eastAsia" w:ascii="Times New Roman" w:hAnsi="Times New Roman" w:eastAsia="宋体" w:cs="Times New Roman"/>
          <w:b/>
          <w:bCs/>
          <w:lang w:val="en-US" w:eastAsia="zh-CN"/>
        </w:rPr>
        <w:t>项目编号：</w:t>
      </w:r>
      <w:r>
        <w:rPr>
          <w:rFonts w:hint="eastAsia" w:ascii="宋体" w:hAnsi="宋体"/>
          <w:b/>
          <w:bCs/>
          <w:szCs w:val="28"/>
          <w:u w:val="single"/>
        </w:rPr>
        <w:t xml:space="preserve">      </w:t>
      </w:r>
      <w:r>
        <w:rPr>
          <w:rFonts w:hint="eastAsia" w:ascii="宋体" w:hAnsi="宋体"/>
          <w:b/>
          <w:szCs w:val="28"/>
          <w:u w:val="single"/>
        </w:rPr>
        <w:t xml:space="preserve">                     </w:t>
      </w:r>
    </w:p>
    <w:p w14:paraId="1331290D">
      <w:pPr>
        <w:pStyle w:val="7"/>
        <w:spacing w:line="360" w:lineRule="auto"/>
        <w:ind w:left="0" w:leftChars="0" w:firstLine="1687" w:firstLineChars="600"/>
        <w:rPr>
          <w:rFonts w:hint="eastAsia" w:ascii="宋体" w:hAnsi="宋体"/>
          <w:b/>
          <w:szCs w:val="28"/>
          <w:u w:val="single"/>
          <w:lang w:val="en-US" w:eastAsia="zh-CN"/>
        </w:rPr>
      </w:pPr>
      <w:r>
        <w:rPr>
          <w:rFonts w:hint="eastAsia" w:ascii="宋体" w:hAnsi="宋体"/>
          <w:b/>
          <w:szCs w:val="28"/>
          <w:lang w:val="en-US" w:eastAsia="zh-CN"/>
        </w:rPr>
        <w:t>投标单位</w:t>
      </w:r>
      <w:r>
        <w:rPr>
          <w:rFonts w:hint="eastAsia" w:ascii="宋体" w:hAnsi="宋体"/>
          <w:b/>
          <w:szCs w:val="28"/>
        </w:rPr>
        <w:t>：</w:t>
      </w:r>
      <w:r>
        <w:rPr>
          <w:rFonts w:hint="eastAsia" w:ascii="宋体" w:hAnsi="宋体"/>
          <w:b/>
          <w:szCs w:val="28"/>
          <w:u w:val="single"/>
        </w:rPr>
        <w:t xml:space="preserve">       </w:t>
      </w:r>
      <w:r>
        <w:rPr>
          <w:rFonts w:hint="eastAsia" w:ascii="宋体" w:hAnsi="宋体"/>
          <w:b/>
          <w:szCs w:val="28"/>
          <w:u w:val="single"/>
          <w:lang w:val="en-US" w:eastAsia="zh-CN"/>
        </w:rPr>
        <w:t xml:space="preserve">                    </w:t>
      </w:r>
    </w:p>
    <w:p w14:paraId="61473AB1">
      <w:pPr>
        <w:pStyle w:val="7"/>
        <w:spacing w:line="360" w:lineRule="auto"/>
        <w:ind w:left="0" w:leftChars="0" w:firstLine="1687" w:firstLineChars="600"/>
        <w:rPr>
          <w:rFonts w:hint="eastAsia" w:ascii="宋体" w:hAnsi="宋体"/>
          <w:b/>
          <w:szCs w:val="28"/>
        </w:rPr>
      </w:pPr>
      <w:r>
        <w:rPr>
          <w:rFonts w:hint="eastAsia" w:ascii="宋体" w:hAnsi="宋体"/>
          <w:b/>
          <w:szCs w:val="28"/>
        </w:rPr>
        <w:t>日期：</w:t>
      </w:r>
      <w:r>
        <w:rPr>
          <w:rFonts w:hint="eastAsia" w:ascii="宋体" w:hAnsi="宋体"/>
          <w:b/>
          <w:szCs w:val="28"/>
          <w:u w:val="single"/>
        </w:rPr>
        <w:t xml:space="preserve">             </w:t>
      </w:r>
      <w:r>
        <w:rPr>
          <w:rFonts w:hint="eastAsia" w:ascii="宋体" w:hAnsi="宋体"/>
          <w:b/>
          <w:szCs w:val="28"/>
        </w:rPr>
        <w:t>年</w:t>
      </w:r>
      <w:r>
        <w:rPr>
          <w:rFonts w:hint="eastAsia" w:ascii="宋体" w:hAnsi="宋体"/>
          <w:b/>
          <w:szCs w:val="28"/>
          <w:u w:val="single"/>
        </w:rPr>
        <w:t xml:space="preserve">      </w:t>
      </w:r>
      <w:r>
        <w:rPr>
          <w:rFonts w:hint="eastAsia" w:ascii="宋体" w:hAnsi="宋体"/>
          <w:b/>
          <w:szCs w:val="28"/>
        </w:rPr>
        <w:t>月</w:t>
      </w:r>
      <w:r>
        <w:rPr>
          <w:rFonts w:hint="eastAsia" w:ascii="宋体" w:hAnsi="宋体"/>
          <w:b/>
          <w:szCs w:val="28"/>
          <w:u w:val="single"/>
        </w:rPr>
        <w:t xml:space="preserve">      </w:t>
      </w:r>
      <w:r>
        <w:rPr>
          <w:rFonts w:hint="eastAsia" w:ascii="宋体" w:hAnsi="宋体"/>
          <w:b/>
          <w:szCs w:val="28"/>
        </w:rPr>
        <w:t>日</w:t>
      </w:r>
    </w:p>
    <w:p w14:paraId="48F784F1">
      <w:pPr>
        <w:pStyle w:val="7"/>
        <w:spacing w:line="360" w:lineRule="auto"/>
        <w:ind w:left="0" w:leftChars="0" w:firstLine="1687" w:firstLineChars="600"/>
        <w:rPr>
          <w:rFonts w:hint="eastAsia" w:ascii="宋体" w:hAnsi="宋体"/>
          <w:b/>
          <w:szCs w:val="28"/>
        </w:rPr>
      </w:pPr>
    </w:p>
    <w:p w14:paraId="75538C91">
      <w:pPr>
        <w:pStyle w:val="7"/>
        <w:spacing w:line="360" w:lineRule="auto"/>
        <w:ind w:left="0" w:leftChars="0" w:firstLine="1687" w:firstLineChars="600"/>
        <w:rPr>
          <w:rFonts w:hint="eastAsia" w:ascii="宋体" w:hAnsi="宋体"/>
          <w:b/>
          <w:szCs w:val="28"/>
        </w:rPr>
      </w:pPr>
    </w:p>
    <w:p w14:paraId="742FDA3C">
      <w:pPr>
        <w:pStyle w:val="7"/>
        <w:spacing w:line="360" w:lineRule="auto"/>
        <w:ind w:left="0" w:leftChars="0" w:firstLine="1687" w:firstLineChars="600"/>
        <w:rPr>
          <w:rFonts w:hint="eastAsia" w:ascii="宋体" w:hAnsi="宋体"/>
          <w:b/>
          <w:szCs w:val="28"/>
        </w:rPr>
      </w:pPr>
    </w:p>
    <w:p w14:paraId="196BA540">
      <w:pPr>
        <w:pStyle w:val="7"/>
        <w:spacing w:line="360" w:lineRule="auto"/>
        <w:ind w:left="0" w:leftChars="0" w:firstLine="1687" w:firstLineChars="600"/>
        <w:rPr>
          <w:rFonts w:hint="eastAsia" w:ascii="宋体" w:hAnsi="宋体"/>
          <w:b/>
          <w:szCs w:val="28"/>
        </w:rPr>
      </w:pPr>
    </w:p>
    <w:p w14:paraId="1AB710F5">
      <w:pPr>
        <w:pStyle w:val="7"/>
        <w:spacing w:line="360" w:lineRule="auto"/>
        <w:ind w:left="0" w:leftChars="0" w:firstLine="1687" w:firstLineChars="600"/>
        <w:rPr>
          <w:rFonts w:hint="eastAsia" w:ascii="宋体" w:hAnsi="宋体"/>
          <w:b/>
          <w:szCs w:val="28"/>
        </w:rPr>
      </w:pPr>
    </w:p>
    <w:p w14:paraId="11736ED2">
      <w:pPr>
        <w:pStyle w:val="7"/>
        <w:spacing w:line="360" w:lineRule="auto"/>
        <w:ind w:left="0" w:leftChars="0" w:firstLine="1687" w:firstLineChars="600"/>
        <w:rPr>
          <w:rFonts w:hint="eastAsia" w:ascii="宋体" w:hAnsi="宋体"/>
          <w:b/>
          <w:szCs w:val="28"/>
        </w:rPr>
      </w:pPr>
    </w:p>
    <w:p w14:paraId="628EBBF6">
      <w:pPr>
        <w:pStyle w:val="7"/>
        <w:spacing w:line="360" w:lineRule="auto"/>
        <w:ind w:left="0" w:leftChars="0" w:firstLine="1687" w:firstLineChars="600"/>
        <w:rPr>
          <w:rFonts w:hint="eastAsia" w:ascii="宋体" w:hAnsi="宋体"/>
          <w:b/>
          <w:szCs w:val="28"/>
        </w:rPr>
      </w:pPr>
    </w:p>
    <w:p w14:paraId="071C73B8">
      <w:pPr>
        <w:pStyle w:val="7"/>
        <w:spacing w:line="360" w:lineRule="auto"/>
        <w:ind w:left="0" w:leftChars="0" w:firstLine="1687" w:firstLineChars="600"/>
        <w:rPr>
          <w:rFonts w:hint="eastAsia" w:ascii="宋体" w:hAnsi="宋体"/>
          <w:b/>
          <w:szCs w:val="28"/>
        </w:rPr>
      </w:pPr>
    </w:p>
    <w:p w14:paraId="5721DCAA">
      <w:pPr>
        <w:pStyle w:val="7"/>
        <w:spacing w:line="360" w:lineRule="auto"/>
        <w:ind w:left="0" w:leftChars="0" w:firstLine="0" w:firstLineChars="0"/>
        <w:rPr>
          <w:rFonts w:hint="eastAsia" w:ascii="宋体" w:hAnsi="宋体"/>
          <w:b/>
          <w:szCs w:val="28"/>
        </w:rPr>
      </w:pPr>
    </w:p>
    <w:p w14:paraId="3D1B85A8">
      <w:pPr>
        <w:pStyle w:val="7"/>
        <w:spacing w:line="360" w:lineRule="auto"/>
        <w:ind w:left="0" w:leftChars="0" w:firstLine="0" w:firstLineChars="0"/>
        <w:rPr>
          <w:rFonts w:hint="eastAsia" w:ascii="宋体" w:hAnsi="宋体"/>
          <w:b/>
          <w:szCs w:val="28"/>
        </w:rPr>
      </w:pPr>
    </w:p>
    <w:p w14:paraId="05EEA8FA">
      <w:pPr>
        <w:pStyle w:val="7"/>
        <w:spacing w:line="360" w:lineRule="auto"/>
        <w:ind w:left="0" w:leftChars="0" w:firstLine="0" w:firstLineChars="0"/>
        <w:rPr>
          <w:rFonts w:hint="default" w:ascii="宋体" w:hAnsi="宋体"/>
          <w:b/>
          <w:szCs w:val="28"/>
          <w:lang w:val="en-US"/>
        </w:rPr>
        <w:sectPr>
          <w:pgSz w:w="11906" w:h="16838"/>
          <w:pgMar w:top="1134" w:right="1134" w:bottom="1134" w:left="1134" w:header="964" w:footer="964" w:gutter="397"/>
          <w:cols w:space="720" w:num="1"/>
          <w:docGrid w:linePitch="286" w:charSpace="0"/>
        </w:sectPr>
      </w:pPr>
      <w:r>
        <w:rPr>
          <w:rFonts w:hint="eastAsia" w:ascii="仿宋_GB2312" w:hAnsi="仿宋_GB2312" w:eastAsia="仿宋_GB2312" w:cs="仿宋_GB2312"/>
          <w:b/>
          <w:bCs/>
          <w:i w:val="0"/>
          <w:iCs w:val="0"/>
          <w:color w:val="000000"/>
          <w:kern w:val="0"/>
          <w:sz w:val="32"/>
          <w:szCs w:val="32"/>
          <w:u w:val="none"/>
          <w:lang w:val="en-US" w:eastAsia="zh-CN" w:bidi="ar"/>
        </w:rPr>
        <w:t>请投标人参考本封面制作项目投标文件封面（正式文件请删除本句）</w:t>
      </w:r>
    </w:p>
    <w:p w14:paraId="7501274D">
      <w:pPr>
        <w:jc w:val="both"/>
        <w:rPr>
          <w:rFonts w:hint="default" w:ascii="仿宋_GB2312" w:hAnsi="仿宋_GB2312" w:eastAsia="仿宋_GB2312" w:cs="仿宋_GB2312"/>
          <w:b/>
          <w:bCs/>
          <w:i w:val="0"/>
          <w:iCs w:val="0"/>
          <w:color w:val="000000"/>
          <w:kern w:val="0"/>
          <w:sz w:val="32"/>
          <w:szCs w:val="32"/>
          <w:u w:val="none"/>
          <w:lang w:val="en-US" w:eastAsia="zh-CN" w:bidi="ar"/>
        </w:rPr>
      </w:pPr>
      <w:r>
        <w:rPr>
          <w:rFonts w:hint="eastAsia" w:ascii="仿宋_GB2312" w:hAnsi="仿宋_GB2312" w:eastAsia="仿宋_GB2312" w:cs="仿宋_GB2312"/>
          <w:b/>
          <w:bCs/>
          <w:i w:val="0"/>
          <w:iCs w:val="0"/>
          <w:color w:val="000000"/>
          <w:kern w:val="0"/>
          <w:sz w:val="32"/>
          <w:szCs w:val="32"/>
          <w:u w:val="none"/>
          <w:lang w:val="en-US" w:eastAsia="zh-CN" w:bidi="ar"/>
        </w:rPr>
        <w:t>请投标人参考以下格式及顺序，制作本项目投标文件，建议拟定目录（正式文件请删除本页）</w:t>
      </w:r>
    </w:p>
    <w:p w14:paraId="2FC1A525">
      <w:pPr>
        <w:jc w:val="both"/>
        <w:rPr>
          <w:rFonts w:hint="eastAsia" w:ascii="仿宋_GB2312" w:hAnsi="仿宋_GB2312" w:eastAsia="仿宋_GB2312" w:cs="仿宋_GB2312"/>
          <w:b/>
          <w:bCs/>
          <w:i w:val="0"/>
          <w:iCs w:val="0"/>
          <w:color w:val="000000"/>
          <w:kern w:val="0"/>
          <w:sz w:val="32"/>
          <w:szCs w:val="32"/>
          <w:u w:val="none"/>
          <w:lang w:val="en-US" w:eastAsia="zh-CN" w:bidi="ar"/>
        </w:rPr>
      </w:pPr>
    </w:p>
    <w:p w14:paraId="03AE2C0A">
      <w:pPr>
        <w:rPr>
          <w:rFonts w:hint="default" w:ascii="仿宋_GB2312" w:hAnsi="仿宋_GB2312" w:eastAsia="仿宋_GB2312" w:cs="仿宋_GB2312"/>
          <w:b/>
          <w:bCs/>
          <w:i w:val="0"/>
          <w:iCs w:val="0"/>
          <w:color w:val="000000"/>
          <w:kern w:val="0"/>
          <w:sz w:val="32"/>
          <w:szCs w:val="32"/>
          <w:u w:val="none"/>
          <w:lang w:val="en-US" w:eastAsia="zh-CN" w:bidi="ar"/>
        </w:rPr>
      </w:pPr>
      <w:r>
        <w:rPr>
          <w:rFonts w:hint="eastAsia" w:ascii="仿宋_GB2312" w:hAnsi="仿宋_GB2312" w:eastAsia="仿宋_GB2312" w:cs="仿宋_GB2312"/>
          <w:b/>
          <w:bCs/>
          <w:i w:val="0"/>
          <w:iCs w:val="0"/>
          <w:color w:val="000000"/>
          <w:kern w:val="0"/>
          <w:sz w:val="32"/>
          <w:szCs w:val="32"/>
          <w:u w:val="none"/>
          <w:lang w:val="en-US" w:eastAsia="zh-CN" w:bidi="ar"/>
        </w:rPr>
        <w:t>格式一：《医疗器械经营企业许可证》、《医疗器械生产企业许可证》、《医疗器械生产许可证》、《医疗器械生产备案凭证》、《医疗器械经营许可证》、《医疗器械经营备案凭证》、其他相关证照</w:t>
      </w:r>
    </w:p>
    <w:p w14:paraId="5EFF65F0">
      <w:pPr>
        <w:rPr>
          <w:rFonts w:hint="eastAsia" w:ascii="仿宋_GB2312" w:hAnsi="仿宋_GB2312" w:eastAsia="仿宋_GB2312" w:cs="仿宋_GB2312"/>
          <w:b/>
          <w:bCs/>
          <w:i w:val="0"/>
          <w:iCs w:val="0"/>
          <w:color w:val="000000"/>
          <w:kern w:val="0"/>
          <w:sz w:val="32"/>
          <w:szCs w:val="32"/>
          <w:u w:val="none"/>
          <w:lang w:val="en-US" w:eastAsia="zh-CN" w:bidi="ar"/>
        </w:rPr>
      </w:pPr>
      <w:r>
        <w:rPr>
          <w:rFonts w:hint="eastAsia" w:ascii="仿宋_GB2312" w:hAnsi="仿宋_GB2312" w:eastAsia="仿宋_GB2312" w:cs="仿宋_GB2312"/>
          <w:b/>
          <w:bCs/>
          <w:i w:val="0"/>
          <w:iCs w:val="0"/>
          <w:color w:val="000000"/>
          <w:kern w:val="0"/>
          <w:sz w:val="32"/>
          <w:szCs w:val="32"/>
          <w:u w:val="none"/>
          <w:lang w:val="en-US" w:eastAsia="zh-CN" w:bidi="ar"/>
        </w:rPr>
        <w:t>格式二：法定代表人证明书</w:t>
      </w:r>
      <w:r>
        <w:rPr>
          <w:rFonts w:hint="eastAsia" w:ascii="仿宋_GB2312" w:hAnsi="仿宋_GB2312" w:eastAsia="仿宋_GB2312" w:cs="仿宋_GB2312"/>
          <w:b/>
          <w:bCs/>
          <w:i w:val="0"/>
          <w:iCs w:val="0"/>
          <w:color w:val="FF0000"/>
          <w:kern w:val="0"/>
          <w:sz w:val="32"/>
          <w:szCs w:val="32"/>
          <w:u w:val="none"/>
          <w:lang w:val="en-US" w:eastAsia="zh-CN" w:bidi="ar"/>
        </w:rPr>
        <w:t>（详见报名资料）</w:t>
      </w:r>
    </w:p>
    <w:p w14:paraId="410B80EC">
      <w:pPr>
        <w:rPr>
          <w:rFonts w:hint="eastAsia" w:ascii="仿宋_GB2312" w:hAnsi="仿宋_GB2312" w:eastAsia="仿宋_GB2312" w:cs="仿宋_GB2312"/>
          <w:b/>
          <w:bCs/>
          <w:i w:val="0"/>
          <w:iCs w:val="0"/>
          <w:color w:val="000000"/>
          <w:kern w:val="0"/>
          <w:sz w:val="32"/>
          <w:szCs w:val="32"/>
          <w:u w:val="none"/>
          <w:lang w:val="en-US" w:eastAsia="zh-CN" w:bidi="ar"/>
        </w:rPr>
      </w:pPr>
      <w:r>
        <w:rPr>
          <w:rFonts w:hint="eastAsia" w:ascii="仿宋_GB2312" w:hAnsi="仿宋_GB2312" w:eastAsia="仿宋_GB2312" w:cs="仿宋_GB2312"/>
          <w:b/>
          <w:bCs/>
          <w:i w:val="0"/>
          <w:iCs w:val="0"/>
          <w:color w:val="000000"/>
          <w:kern w:val="0"/>
          <w:sz w:val="32"/>
          <w:szCs w:val="32"/>
          <w:u w:val="none"/>
          <w:lang w:val="en-US" w:eastAsia="zh-CN" w:bidi="ar"/>
        </w:rPr>
        <w:t>格式三：投标人委托书（如需）</w:t>
      </w:r>
      <w:r>
        <w:rPr>
          <w:rFonts w:hint="eastAsia" w:ascii="仿宋_GB2312" w:hAnsi="仿宋_GB2312" w:eastAsia="仿宋_GB2312" w:cs="仿宋_GB2312"/>
          <w:b/>
          <w:bCs/>
          <w:i w:val="0"/>
          <w:iCs w:val="0"/>
          <w:color w:val="FF0000"/>
          <w:kern w:val="0"/>
          <w:sz w:val="32"/>
          <w:szCs w:val="32"/>
          <w:u w:val="none"/>
          <w:lang w:val="en-US" w:eastAsia="zh-CN" w:bidi="ar"/>
        </w:rPr>
        <w:t>（详见报名资料）</w:t>
      </w:r>
    </w:p>
    <w:p w14:paraId="1C407F10">
      <w:pPr>
        <w:rPr>
          <w:rFonts w:hint="eastAsia" w:ascii="仿宋_GB2312" w:hAnsi="仿宋_GB2312" w:eastAsia="仿宋_GB2312" w:cs="仿宋_GB2312"/>
          <w:b/>
          <w:bCs/>
          <w:i w:val="0"/>
          <w:iCs w:val="0"/>
          <w:color w:val="000000"/>
          <w:kern w:val="0"/>
          <w:sz w:val="32"/>
          <w:szCs w:val="32"/>
          <w:u w:val="none"/>
          <w:lang w:val="en-US" w:eastAsia="zh-CN" w:bidi="ar"/>
        </w:rPr>
      </w:pPr>
      <w:r>
        <w:rPr>
          <w:rFonts w:hint="eastAsia" w:ascii="仿宋_GB2312" w:hAnsi="仿宋_GB2312" w:eastAsia="仿宋_GB2312" w:cs="仿宋_GB2312"/>
          <w:b/>
          <w:bCs/>
          <w:i w:val="0"/>
          <w:iCs w:val="0"/>
          <w:color w:val="000000"/>
          <w:kern w:val="0"/>
          <w:sz w:val="32"/>
          <w:szCs w:val="32"/>
          <w:u w:val="none"/>
          <w:lang w:val="en-US" w:eastAsia="zh-CN" w:bidi="ar"/>
        </w:rPr>
        <w:t>格式四：资格承诺函</w:t>
      </w:r>
      <w:r>
        <w:rPr>
          <w:rFonts w:hint="eastAsia" w:ascii="仿宋_GB2312" w:hAnsi="仿宋_GB2312" w:eastAsia="仿宋_GB2312" w:cs="仿宋_GB2312"/>
          <w:b/>
          <w:bCs/>
          <w:i w:val="0"/>
          <w:iCs w:val="0"/>
          <w:color w:val="FF0000"/>
          <w:kern w:val="0"/>
          <w:sz w:val="32"/>
          <w:szCs w:val="32"/>
          <w:u w:val="none"/>
          <w:lang w:val="en-US" w:eastAsia="zh-CN" w:bidi="ar"/>
        </w:rPr>
        <w:t>（参考格式见后文）</w:t>
      </w:r>
    </w:p>
    <w:p w14:paraId="0C91E18D">
      <w:pPr>
        <w:rPr>
          <w:rFonts w:hint="eastAsia" w:ascii="仿宋_GB2312" w:hAnsi="仿宋_GB2312" w:eastAsia="仿宋_GB2312" w:cs="仿宋_GB2312"/>
          <w:b/>
          <w:bCs/>
          <w:i w:val="0"/>
          <w:iCs w:val="0"/>
          <w:color w:val="000000"/>
          <w:kern w:val="0"/>
          <w:sz w:val="32"/>
          <w:szCs w:val="32"/>
          <w:u w:val="none"/>
          <w:lang w:val="en-US" w:eastAsia="zh-CN" w:bidi="ar"/>
        </w:rPr>
      </w:pPr>
      <w:r>
        <w:rPr>
          <w:rFonts w:hint="eastAsia" w:ascii="仿宋_GB2312" w:hAnsi="仿宋_GB2312" w:eastAsia="仿宋_GB2312" w:cs="仿宋_GB2312"/>
          <w:b/>
          <w:bCs/>
          <w:i w:val="0"/>
          <w:iCs w:val="0"/>
          <w:color w:val="000000"/>
          <w:kern w:val="0"/>
          <w:sz w:val="32"/>
          <w:szCs w:val="32"/>
          <w:u w:val="none"/>
          <w:lang w:val="en-US" w:eastAsia="zh-CN" w:bidi="ar"/>
        </w:rPr>
        <w:t>格式五：报价表（格式自拟，留出二次报价部分）</w:t>
      </w:r>
    </w:p>
    <w:p w14:paraId="39429699">
      <w:pPr>
        <w:rPr>
          <w:rFonts w:hint="eastAsia" w:ascii="仿宋_GB2312" w:hAnsi="仿宋_GB2312" w:eastAsia="仿宋_GB2312" w:cs="仿宋_GB2312"/>
          <w:b/>
          <w:bCs/>
          <w:i w:val="0"/>
          <w:iCs w:val="0"/>
          <w:color w:val="FF0000"/>
          <w:kern w:val="0"/>
          <w:sz w:val="32"/>
          <w:szCs w:val="32"/>
          <w:u w:val="none"/>
          <w:lang w:val="en-US" w:eastAsia="zh-CN" w:bidi="ar"/>
        </w:rPr>
      </w:pPr>
      <w:r>
        <w:rPr>
          <w:rFonts w:hint="eastAsia" w:ascii="仿宋_GB2312" w:hAnsi="仿宋_GB2312" w:eastAsia="仿宋_GB2312" w:cs="仿宋_GB2312"/>
          <w:b/>
          <w:bCs/>
          <w:i w:val="0"/>
          <w:iCs w:val="0"/>
          <w:color w:val="000000"/>
          <w:kern w:val="0"/>
          <w:sz w:val="32"/>
          <w:szCs w:val="32"/>
          <w:u w:val="none"/>
          <w:lang w:val="en-US" w:eastAsia="zh-CN" w:bidi="ar"/>
        </w:rPr>
        <w:t>格式六：项目需求书及商务条款响应情况表</w:t>
      </w:r>
      <w:r>
        <w:rPr>
          <w:rFonts w:hint="eastAsia" w:ascii="仿宋_GB2312" w:hAnsi="仿宋_GB2312" w:eastAsia="仿宋_GB2312" w:cs="仿宋_GB2312"/>
          <w:b/>
          <w:bCs/>
          <w:i w:val="0"/>
          <w:iCs w:val="0"/>
          <w:color w:val="FF0000"/>
          <w:kern w:val="0"/>
          <w:sz w:val="32"/>
          <w:szCs w:val="32"/>
          <w:u w:val="none"/>
          <w:lang w:val="en-US" w:eastAsia="zh-CN" w:bidi="ar"/>
        </w:rPr>
        <w:t>（参考格式见后文）</w:t>
      </w:r>
    </w:p>
    <w:p w14:paraId="1DD3A1F7">
      <w:pPr>
        <w:rPr>
          <w:rFonts w:hint="eastAsia" w:ascii="仿宋_GB2312" w:hAnsi="仿宋_GB2312" w:eastAsia="仿宋_GB2312" w:cs="仿宋_GB2312"/>
          <w:b/>
          <w:bCs/>
          <w:i w:val="0"/>
          <w:iCs w:val="0"/>
          <w:color w:val="auto"/>
          <w:kern w:val="0"/>
          <w:sz w:val="32"/>
          <w:szCs w:val="32"/>
          <w:u w:val="none"/>
          <w:lang w:val="en-US" w:eastAsia="zh-CN" w:bidi="ar"/>
        </w:rPr>
      </w:pPr>
      <w:r>
        <w:rPr>
          <w:rFonts w:hint="eastAsia" w:ascii="仿宋_GB2312" w:hAnsi="仿宋_GB2312" w:eastAsia="仿宋_GB2312" w:cs="仿宋_GB2312"/>
          <w:b/>
          <w:bCs/>
          <w:i w:val="0"/>
          <w:iCs w:val="0"/>
          <w:color w:val="auto"/>
          <w:kern w:val="0"/>
          <w:sz w:val="32"/>
          <w:szCs w:val="32"/>
          <w:u w:val="none"/>
          <w:lang w:val="en-US" w:eastAsia="zh-CN" w:bidi="ar"/>
        </w:rPr>
        <w:t xml:space="preserve">格式七：整体实施方案及技术措施 </w:t>
      </w:r>
    </w:p>
    <w:p w14:paraId="45C5DFB6">
      <w:pPr>
        <w:rPr>
          <w:rFonts w:hint="eastAsia" w:ascii="仿宋_GB2312" w:hAnsi="仿宋_GB2312" w:eastAsia="仿宋_GB2312" w:cs="仿宋_GB2312"/>
          <w:b/>
          <w:bCs/>
          <w:i w:val="0"/>
          <w:iCs w:val="0"/>
          <w:color w:val="auto"/>
          <w:kern w:val="0"/>
          <w:sz w:val="32"/>
          <w:szCs w:val="32"/>
          <w:u w:val="none"/>
          <w:lang w:val="en-US" w:eastAsia="zh-CN" w:bidi="ar"/>
        </w:rPr>
      </w:pPr>
      <w:r>
        <w:rPr>
          <w:rFonts w:hint="eastAsia" w:ascii="仿宋_GB2312" w:hAnsi="仿宋_GB2312" w:eastAsia="仿宋_GB2312" w:cs="仿宋_GB2312"/>
          <w:b/>
          <w:bCs/>
          <w:i w:val="0"/>
          <w:iCs w:val="0"/>
          <w:color w:val="auto"/>
          <w:kern w:val="0"/>
          <w:sz w:val="32"/>
          <w:szCs w:val="32"/>
          <w:u w:val="none"/>
          <w:lang w:val="en-US" w:eastAsia="zh-CN" w:bidi="ar"/>
        </w:rPr>
        <w:t>格式八：技术培训方案</w:t>
      </w:r>
    </w:p>
    <w:p w14:paraId="0B905C03">
      <w:pPr>
        <w:rPr>
          <w:rFonts w:hint="eastAsia" w:ascii="仿宋_GB2312" w:hAnsi="仿宋_GB2312" w:eastAsia="仿宋_GB2312" w:cs="仿宋_GB2312"/>
          <w:b/>
          <w:bCs/>
          <w:i w:val="0"/>
          <w:iCs w:val="0"/>
          <w:color w:val="auto"/>
          <w:kern w:val="0"/>
          <w:sz w:val="32"/>
          <w:szCs w:val="32"/>
          <w:u w:val="none"/>
          <w:lang w:val="en-US" w:eastAsia="zh-CN" w:bidi="ar"/>
        </w:rPr>
      </w:pPr>
      <w:r>
        <w:rPr>
          <w:rFonts w:hint="eastAsia" w:ascii="仿宋_GB2312" w:hAnsi="仿宋_GB2312" w:eastAsia="仿宋_GB2312" w:cs="仿宋_GB2312"/>
          <w:b/>
          <w:bCs/>
          <w:i w:val="0"/>
          <w:iCs w:val="0"/>
          <w:color w:val="auto"/>
          <w:kern w:val="0"/>
          <w:sz w:val="32"/>
          <w:szCs w:val="32"/>
          <w:u w:val="none"/>
          <w:lang w:val="en-US" w:eastAsia="zh-CN" w:bidi="ar"/>
        </w:rPr>
        <w:t>格式九：供应商的同类项目业绩与用户评价</w:t>
      </w:r>
    </w:p>
    <w:p w14:paraId="06EA0600">
      <w:pPr>
        <w:rPr>
          <w:rFonts w:hint="eastAsia" w:ascii="仿宋_GB2312" w:hAnsi="仿宋_GB2312" w:eastAsia="仿宋_GB2312" w:cs="仿宋_GB2312"/>
          <w:b/>
          <w:bCs/>
          <w:i w:val="0"/>
          <w:iCs w:val="0"/>
          <w:color w:val="auto"/>
          <w:kern w:val="0"/>
          <w:sz w:val="32"/>
          <w:szCs w:val="32"/>
          <w:u w:val="none"/>
          <w:lang w:val="en-US" w:eastAsia="zh-CN" w:bidi="ar"/>
        </w:rPr>
      </w:pPr>
      <w:r>
        <w:rPr>
          <w:rFonts w:hint="eastAsia" w:ascii="仿宋_GB2312" w:hAnsi="仿宋_GB2312" w:eastAsia="仿宋_GB2312" w:cs="仿宋_GB2312"/>
          <w:b/>
          <w:bCs/>
          <w:i w:val="0"/>
          <w:iCs w:val="0"/>
          <w:color w:val="auto"/>
          <w:kern w:val="0"/>
          <w:sz w:val="32"/>
          <w:szCs w:val="32"/>
          <w:u w:val="none"/>
          <w:lang w:val="en-US" w:eastAsia="zh-CN" w:bidi="ar"/>
        </w:rPr>
        <w:t>格式十：售后服务方案</w:t>
      </w:r>
    </w:p>
    <w:p w14:paraId="5CD0F3E6">
      <w:pPr>
        <w:rPr>
          <w:rFonts w:hint="eastAsia" w:ascii="仿宋_GB2312" w:hAnsi="仿宋_GB2312" w:eastAsia="仿宋_GB2312" w:cs="仿宋_GB2312"/>
          <w:b/>
          <w:bCs/>
          <w:i w:val="0"/>
          <w:iCs w:val="0"/>
          <w:color w:val="auto"/>
          <w:kern w:val="0"/>
          <w:sz w:val="32"/>
          <w:szCs w:val="32"/>
          <w:u w:val="none"/>
          <w:lang w:val="en-US" w:eastAsia="zh-CN" w:bidi="ar"/>
        </w:rPr>
      </w:pPr>
      <w:r>
        <w:rPr>
          <w:rFonts w:hint="eastAsia" w:ascii="仿宋_GB2312" w:hAnsi="仿宋_GB2312" w:eastAsia="仿宋_GB2312" w:cs="仿宋_GB2312"/>
          <w:b/>
          <w:bCs/>
          <w:i w:val="0"/>
          <w:iCs w:val="0"/>
          <w:color w:val="auto"/>
          <w:kern w:val="0"/>
          <w:sz w:val="32"/>
          <w:szCs w:val="32"/>
          <w:u w:val="none"/>
          <w:lang w:val="en-US" w:eastAsia="zh-CN" w:bidi="ar"/>
        </w:rPr>
        <w:t>格式十一：项目要求的其他相关文件及资料</w:t>
      </w:r>
    </w:p>
    <w:p w14:paraId="5A6B526C">
      <w:pPr>
        <w:rPr>
          <w:rFonts w:hint="eastAsia" w:ascii="仿宋_GB2312" w:hAnsi="仿宋_GB2312" w:eastAsia="仿宋_GB2312" w:cs="仿宋_GB2312"/>
          <w:b/>
          <w:bCs/>
          <w:i w:val="0"/>
          <w:iCs w:val="0"/>
          <w:color w:val="000000"/>
          <w:kern w:val="0"/>
          <w:sz w:val="32"/>
          <w:szCs w:val="32"/>
          <w:u w:val="none"/>
          <w:lang w:val="en-US" w:eastAsia="zh-CN" w:bidi="ar"/>
        </w:rPr>
      </w:pPr>
      <w:r>
        <w:rPr>
          <w:rFonts w:hint="eastAsia" w:ascii="仿宋_GB2312" w:hAnsi="仿宋_GB2312" w:eastAsia="仿宋_GB2312" w:cs="仿宋_GB2312"/>
          <w:b/>
          <w:bCs/>
          <w:i w:val="0"/>
          <w:iCs w:val="0"/>
          <w:color w:val="000000"/>
          <w:kern w:val="0"/>
          <w:sz w:val="32"/>
          <w:szCs w:val="32"/>
          <w:u w:val="none"/>
          <w:lang w:val="en-US" w:eastAsia="zh-CN" w:bidi="ar"/>
        </w:rPr>
        <w:t>格式十二：投标人认为需要的其他资料（格式自拟）</w:t>
      </w:r>
    </w:p>
    <w:p w14:paraId="77F76AEF">
      <w:pPr>
        <w:rPr>
          <w:rFonts w:hint="default"/>
          <w:lang w:val="en-US" w:eastAsia="zh-CN"/>
        </w:rPr>
      </w:pPr>
    </w:p>
    <w:p w14:paraId="3B4A503A">
      <w:pPr>
        <w:rPr>
          <w:rFonts w:hint="default"/>
          <w:lang w:val="en-US" w:eastAsia="zh-CN"/>
        </w:rPr>
      </w:pPr>
    </w:p>
    <w:p w14:paraId="7DDA0690">
      <w:pPr>
        <w:rPr>
          <w:rFonts w:hint="default"/>
          <w:lang w:val="en-US" w:eastAsia="zh-CN"/>
        </w:rPr>
      </w:pPr>
    </w:p>
    <w:p w14:paraId="18ABCE52">
      <w:pPr>
        <w:rPr>
          <w:rFonts w:hint="default"/>
          <w:lang w:val="en-US" w:eastAsia="zh-CN"/>
        </w:rPr>
        <w:sectPr>
          <w:pgSz w:w="11906" w:h="16838"/>
          <w:pgMar w:top="1440" w:right="1800" w:bottom="1440" w:left="1800" w:header="851" w:footer="992" w:gutter="0"/>
          <w:cols w:space="425" w:num="1"/>
          <w:docGrid w:type="lines" w:linePitch="312" w:charSpace="0"/>
        </w:sectPr>
      </w:pPr>
    </w:p>
    <w:p w14:paraId="73D1AD6A">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36" w:lineRule="auto"/>
        <w:jc w:val="center"/>
        <w:textAlignment w:val="auto"/>
        <w:rPr>
          <w:rFonts w:hint="eastAsia" w:ascii="仿宋_GB2312" w:hAnsi="仿宋_GB2312" w:eastAsia="仿宋_GB2312" w:cs="仿宋_GB2312"/>
          <w:sz w:val="28"/>
          <w:szCs w:val="28"/>
        </w:rPr>
      </w:pPr>
      <w:r>
        <w:rPr>
          <w:rStyle w:val="14"/>
          <w:rFonts w:hint="eastAsia" w:ascii="仿宋_GB2312" w:hAnsi="仿宋_GB2312" w:eastAsia="仿宋_GB2312" w:cs="仿宋_GB2312"/>
          <w:b/>
          <w:sz w:val="28"/>
          <w:szCs w:val="28"/>
        </w:rPr>
        <w:t>资格承诺函</w:t>
      </w:r>
    </w:p>
    <w:p w14:paraId="285D8756">
      <w:pPr>
        <w:pStyle w:val="11"/>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36" w:lineRule="auto"/>
        <w:textAlignment w:val="auto"/>
        <w:rPr>
          <w:rFonts w:hint="eastAsia" w:ascii="仿宋_GB2312" w:hAnsi="仿宋_GB2312" w:eastAsia="仿宋_GB2312" w:cs="仿宋_GB2312"/>
          <w:sz w:val="28"/>
          <w:szCs w:val="28"/>
        </w:rPr>
      </w:pPr>
      <w:r>
        <w:rPr>
          <w:rStyle w:val="14"/>
          <w:rFonts w:hint="eastAsia" w:ascii="仿宋_GB2312" w:hAnsi="仿宋_GB2312" w:eastAsia="仿宋_GB2312" w:cs="仿宋_GB2312"/>
          <w:sz w:val="28"/>
          <w:szCs w:val="28"/>
        </w:rPr>
        <w:t>致：广州中医药大学第一附属医院中山医院</w:t>
      </w:r>
    </w:p>
    <w:p w14:paraId="5FE283AE">
      <w:pPr>
        <w:keepNext w:val="0"/>
        <w:keepLines w:val="0"/>
        <w:pageBreakBefore w:val="0"/>
        <w:widowControl w:val="0"/>
        <w:kinsoku/>
        <w:wordWrap/>
        <w:overflowPunct/>
        <w:topLinePunct w:val="0"/>
        <w:autoSpaceDE/>
        <w:autoSpaceDN/>
        <w:bidi w:val="0"/>
        <w:adjustRightInd/>
        <w:snapToGrid/>
        <w:spacing w:line="336"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我单位郑重承诺，完全符合贵方</w:t>
      </w:r>
      <w:r>
        <w:rPr>
          <w:rFonts w:hint="eastAsia" w:ascii="仿宋_GB2312" w:hAnsi="仿宋_GB2312" w:eastAsia="仿宋_GB2312" w:cs="仿宋_GB2312"/>
          <w:sz w:val="28"/>
          <w:szCs w:val="28"/>
          <w:lang w:val="en-US" w:eastAsia="zh-CN"/>
        </w:rPr>
        <w:t>保安服务项目</w:t>
      </w:r>
      <w:r>
        <w:rPr>
          <w:rFonts w:hint="eastAsia" w:ascii="仿宋_GB2312" w:hAnsi="仿宋_GB2312" w:eastAsia="仿宋_GB2312" w:cs="仿宋_GB2312"/>
          <w:sz w:val="28"/>
          <w:szCs w:val="28"/>
        </w:rPr>
        <w:t>（项目编号：招</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202</w:t>
      </w: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号）招标公告中规定的资格条件，并满足《中华人民共和国政府采购法》第二十二条规定：</w:t>
      </w:r>
    </w:p>
    <w:p w14:paraId="03E4DB1E">
      <w:pPr>
        <w:pStyle w:val="11"/>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36" w:lineRule="auto"/>
        <w:ind w:left="720"/>
        <w:textAlignment w:val="auto"/>
        <w:rPr>
          <w:rFonts w:hint="eastAsia" w:ascii="仿宋_GB2312" w:hAnsi="仿宋_GB2312" w:eastAsia="仿宋_GB2312" w:cs="仿宋_GB2312"/>
          <w:sz w:val="28"/>
          <w:szCs w:val="28"/>
        </w:rPr>
      </w:pPr>
      <w:r>
        <w:rPr>
          <w:rStyle w:val="14"/>
          <w:rFonts w:hint="eastAsia" w:ascii="仿宋_GB2312" w:hAnsi="仿宋_GB2312" w:eastAsia="仿宋_GB2312" w:cs="仿宋_GB2312"/>
          <w:sz w:val="28"/>
          <w:szCs w:val="28"/>
          <w:lang w:val="en-US" w:eastAsia="zh-CN"/>
        </w:rPr>
        <w:t>1.</w:t>
      </w:r>
      <w:r>
        <w:rPr>
          <w:rStyle w:val="14"/>
          <w:rFonts w:hint="eastAsia" w:ascii="仿宋_GB2312" w:hAnsi="仿宋_GB2312" w:eastAsia="仿宋_GB2312" w:cs="仿宋_GB2312"/>
          <w:sz w:val="28"/>
          <w:szCs w:val="28"/>
        </w:rPr>
        <w:t>具有独立承担民事责任的能力；</w:t>
      </w:r>
    </w:p>
    <w:p w14:paraId="30B94375">
      <w:pPr>
        <w:pStyle w:val="11"/>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36" w:lineRule="auto"/>
        <w:ind w:left="720"/>
        <w:textAlignment w:val="auto"/>
        <w:rPr>
          <w:rFonts w:hint="eastAsia" w:ascii="仿宋_GB2312" w:hAnsi="仿宋_GB2312" w:eastAsia="仿宋_GB2312" w:cs="仿宋_GB2312"/>
          <w:sz w:val="28"/>
          <w:szCs w:val="28"/>
        </w:rPr>
      </w:pPr>
      <w:r>
        <w:rPr>
          <w:rStyle w:val="14"/>
          <w:rFonts w:hint="eastAsia" w:ascii="仿宋_GB2312" w:hAnsi="仿宋_GB2312" w:eastAsia="仿宋_GB2312" w:cs="仿宋_GB2312"/>
          <w:sz w:val="28"/>
          <w:szCs w:val="28"/>
          <w:lang w:val="en-US" w:eastAsia="zh-CN"/>
        </w:rPr>
        <w:t>2.</w:t>
      </w:r>
      <w:r>
        <w:rPr>
          <w:rStyle w:val="14"/>
          <w:rFonts w:hint="eastAsia" w:ascii="仿宋_GB2312" w:hAnsi="仿宋_GB2312" w:eastAsia="仿宋_GB2312" w:cs="仿宋_GB2312"/>
          <w:sz w:val="28"/>
          <w:szCs w:val="28"/>
        </w:rPr>
        <w:t>具有良好的商业信誉和健全的财务会计制度；</w:t>
      </w:r>
    </w:p>
    <w:p w14:paraId="2C9F9C31">
      <w:pPr>
        <w:pStyle w:val="11"/>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36" w:lineRule="auto"/>
        <w:ind w:left="720"/>
        <w:textAlignment w:val="auto"/>
        <w:rPr>
          <w:rStyle w:val="14"/>
          <w:rFonts w:hint="eastAsia" w:ascii="仿宋_GB2312" w:hAnsi="仿宋_GB2312" w:eastAsia="仿宋_GB2312" w:cs="仿宋_GB2312"/>
          <w:sz w:val="28"/>
          <w:szCs w:val="28"/>
        </w:rPr>
      </w:pPr>
      <w:r>
        <w:rPr>
          <w:rStyle w:val="14"/>
          <w:rFonts w:hint="eastAsia" w:ascii="仿宋_GB2312" w:hAnsi="仿宋_GB2312" w:eastAsia="仿宋_GB2312" w:cs="仿宋_GB2312"/>
          <w:sz w:val="28"/>
          <w:szCs w:val="28"/>
          <w:lang w:val="en-US" w:eastAsia="zh-CN"/>
        </w:rPr>
        <w:t>3.</w:t>
      </w:r>
      <w:r>
        <w:rPr>
          <w:rStyle w:val="14"/>
          <w:rFonts w:hint="eastAsia" w:ascii="仿宋_GB2312" w:hAnsi="仿宋_GB2312" w:eastAsia="仿宋_GB2312" w:cs="仿宋_GB2312"/>
          <w:sz w:val="28"/>
          <w:szCs w:val="28"/>
        </w:rPr>
        <w:t>具有履行合同所必需的设备和专业技术能力；</w:t>
      </w:r>
    </w:p>
    <w:p w14:paraId="18AD5A82">
      <w:pPr>
        <w:pStyle w:val="11"/>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36" w:lineRule="auto"/>
        <w:ind w:left="720"/>
        <w:textAlignment w:val="auto"/>
        <w:rPr>
          <w:rFonts w:hint="eastAsia" w:ascii="仿宋_GB2312" w:hAnsi="仿宋_GB2312" w:eastAsia="仿宋_GB2312" w:cs="仿宋_GB2312"/>
          <w:sz w:val="28"/>
          <w:szCs w:val="28"/>
        </w:rPr>
      </w:pPr>
      <w:r>
        <w:rPr>
          <w:rStyle w:val="14"/>
          <w:rFonts w:hint="eastAsia" w:ascii="仿宋_GB2312" w:hAnsi="仿宋_GB2312" w:eastAsia="仿宋_GB2312" w:cs="仿宋_GB2312"/>
          <w:sz w:val="28"/>
          <w:szCs w:val="28"/>
          <w:lang w:val="en-US" w:eastAsia="zh-CN"/>
        </w:rPr>
        <w:t>4.</w:t>
      </w:r>
      <w:r>
        <w:rPr>
          <w:rStyle w:val="14"/>
          <w:rFonts w:hint="eastAsia" w:ascii="仿宋_GB2312" w:hAnsi="仿宋_GB2312" w:eastAsia="仿宋_GB2312" w:cs="仿宋_GB2312"/>
          <w:sz w:val="28"/>
          <w:szCs w:val="28"/>
        </w:rPr>
        <w:t>有依法缴纳税收和社会保障资金的良好记录；</w:t>
      </w:r>
    </w:p>
    <w:p w14:paraId="6FA942DC">
      <w:pPr>
        <w:pStyle w:val="11"/>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36" w:lineRule="auto"/>
        <w:ind w:left="720"/>
        <w:textAlignment w:val="auto"/>
        <w:rPr>
          <w:rFonts w:hint="eastAsia" w:ascii="仿宋_GB2312" w:hAnsi="仿宋_GB2312" w:eastAsia="仿宋_GB2312" w:cs="仿宋_GB2312"/>
          <w:sz w:val="28"/>
          <w:szCs w:val="28"/>
        </w:rPr>
      </w:pPr>
      <w:r>
        <w:rPr>
          <w:rStyle w:val="14"/>
          <w:rFonts w:hint="eastAsia" w:ascii="仿宋_GB2312" w:hAnsi="仿宋_GB2312" w:eastAsia="仿宋_GB2312" w:cs="仿宋_GB2312"/>
          <w:sz w:val="28"/>
          <w:szCs w:val="28"/>
          <w:lang w:val="en-US" w:eastAsia="zh-CN"/>
        </w:rPr>
        <w:t>5.</w:t>
      </w:r>
      <w:r>
        <w:rPr>
          <w:rStyle w:val="14"/>
          <w:rFonts w:hint="eastAsia" w:ascii="仿宋_GB2312" w:hAnsi="仿宋_GB2312" w:eastAsia="仿宋_GB2312" w:cs="仿宋_GB2312"/>
          <w:sz w:val="28"/>
          <w:szCs w:val="28"/>
        </w:rPr>
        <w:t>参加政府采购活动前三年内，在经营活动中没有重大违法记录；</w:t>
      </w:r>
    </w:p>
    <w:p w14:paraId="2B769B73">
      <w:pPr>
        <w:pStyle w:val="11"/>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36" w:lineRule="auto"/>
        <w:ind w:left="720"/>
        <w:textAlignment w:val="auto"/>
        <w:rPr>
          <w:rFonts w:hint="eastAsia" w:ascii="仿宋_GB2312" w:hAnsi="仿宋_GB2312" w:eastAsia="仿宋_GB2312" w:cs="仿宋_GB2312"/>
          <w:sz w:val="28"/>
          <w:szCs w:val="28"/>
        </w:rPr>
      </w:pPr>
      <w:r>
        <w:rPr>
          <w:rStyle w:val="14"/>
          <w:rFonts w:hint="eastAsia" w:ascii="仿宋_GB2312" w:hAnsi="仿宋_GB2312" w:eastAsia="仿宋_GB2312" w:cs="仿宋_GB2312"/>
          <w:sz w:val="28"/>
          <w:szCs w:val="28"/>
          <w:lang w:val="en-US" w:eastAsia="zh-CN"/>
        </w:rPr>
        <w:t>6.</w:t>
      </w:r>
      <w:r>
        <w:rPr>
          <w:rStyle w:val="14"/>
          <w:rFonts w:hint="eastAsia" w:ascii="仿宋_GB2312" w:hAnsi="仿宋_GB2312" w:eastAsia="仿宋_GB2312" w:cs="仿宋_GB2312"/>
          <w:sz w:val="28"/>
          <w:szCs w:val="28"/>
        </w:rPr>
        <w:t>法律、行政法规规定的其他条件。</w:t>
      </w:r>
    </w:p>
    <w:p w14:paraId="2256FEFA">
      <w:pPr>
        <w:pStyle w:val="11"/>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36"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同时，我方就本项目的特定资格要求作出如下承诺：</w:t>
      </w:r>
    </w:p>
    <w:p w14:paraId="7A7A7B61">
      <w:pPr>
        <w:pStyle w:val="11"/>
        <w:keepNext w:val="0"/>
        <w:keepLines w:val="0"/>
        <w:pageBreakBefore w:val="0"/>
        <w:widowControl/>
        <w:numPr>
          <w:ilvl w:val="0"/>
          <w:numId w:val="1"/>
        </w:numPr>
        <w:suppressLineNumbers w:val="0"/>
        <w:kinsoku/>
        <w:wordWrap/>
        <w:overflowPunct/>
        <w:topLinePunct w:val="0"/>
        <w:autoSpaceDE/>
        <w:autoSpaceDN/>
        <w:bidi w:val="0"/>
        <w:adjustRightInd w:val="0"/>
        <w:snapToGrid w:val="0"/>
        <w:spacing w:beforeAutospacing="0" w:afterAutospacing="0" w:line="336"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我方单位负责人与本次投标的其他供应商单位负责人不为同一人，且不存在直接控股、管理关系。</w:t>
      </w:r>
    </w:p>
    <w:p w14:paraId="3285483B">
      <w:pPr>
        <w:pStyle w:val="11"/>
        <w:keepNext w:val="0"/>
        <w:keepLines w:val="0"/>
        <w:pageBreakBefore w:val="0"/>
        <w:widowControl/>
        <w:numPr>
          <w:ilvl w:val="0"/>
          <w:numId w:val="1"/>
        </w:numPr>
        <w:suppressLineNumbers w:val="0"/>
        <w:kinsoku/>
        <w:wordWrap/>
        <w:overflowPunct/>
        <w:topLinePunct w:val="0"/>
        <w:autoSpaceDE/>
        <w:autoSpaceDN/>
        <w:bidi w:val="0"/>
        <w:adjustRightInd w:val="0"/>
        <w:snapToGrid w:val="0"/>
        <w:spacing w:beforeAutospacing="0" w:afterAutospacing="0" w:line="336"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我方未为采购项目提供整体设计、规范编制或者项目管理、监理、检测等服务。</w:t>
      </w:r>
    </w:p>
    <w:p w14:paraId="5BC509C3">
      <w:pPr>
        <w:pStyle w:val="11"/>
        <w:keepNext w:val="0"/>
        <w:keepLines w:val="0"/>
        <w:pageBreakBefore w:val="0"/>
        <w:widowControl/>
        <w:numPr>
          <w:ilvl w:val="0"/>
          <w:numId w:val="1"/>
        </w:numPr>
        <w:suppressLineNumbers w:val="0"/>
        <w:kinsoku/>
        <w:wordWrap/>
        <w:overflowPunct/>
        <w:topLinePunct w:val="0"/>
        <w:autoSpaceDE/>
        <w:autoSpaceDN/>
        <w:bidi w:val="0"/>
        <w:adjustRightInd w:val="0"/>
        <w:snapToGrid w:val="0"/>
        <w:spacing w:beforeAutospacing="0" w:afterAutospacing="0" w:line="336"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我方以独立投标人身份参与本项目，不接受</w:t>
      </w:r>
      <w:r>
        <w:rPr>
          <w:rFonts w:hint="eastAsia" w:ascii="仿宋_GB2312" w:hAnsi="仿宋_GB2312" w:eastAsia="仿宋_GB2312" w:cs="仿宋_GB2312"/>
          <w:sz w:val="28"/>
          <w:szCs w:val="28"/>
          <w:lang w:eastAsia="zh-CN"/>
        </w:rPr>
        <w:t>，也</w:t>
      </w:r>
      <w:r>
        <w:rPr>
          <w:rFonts w:hint="eastAsia" w:ascii="仿宋_GB2312" w:hAnsi="仿宋_GB2312" w:eastAsia="仿宋_GB2312" w:cs="仿宋_GB2312"/>
          <w:sz w:val="28"/>
          <w:szCs w:val="28"/>
        </w:rPr>
        <w:t>不与其他供应商组成联合体参与本次报价。</w:t>
      </w:r>
    </w:p>
    <w:p w14:paraId="462629B6">
      <w:pPr>
        <w:pStyle w:val="11"/>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336" w:lineRule="auto"/>
        <w:ind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我方保证以上陈述及所提供的全部资格证明文件均真实、合法、有效。如发现我单位有作假行为，或上述承诺不实，贵方有权取消我方的投标（或中标）资格，我单位愿意承担由此产生的一切法律责任和后果。</w:t>
      </w:r>
    </w:p>
    <w:p w14:paraId="3F4E8427">
      <w:pPr>
        <w:pStyle w:val="11"/>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36"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特此承诺。</w:t>
      </w:r>
    </w:p>
    <w:p w14:paraId="037FACD6">
      <w:pPr>
        <w:pStyle w:val="11"/>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36" w:lineRule="auto"/>
        <w:textAlignment w:val="auto"/>
        <w:rPr>
          <w:rStyle w:val="14"/>
          <w:rFonts w:hint="eastAsia" w:ascii="仿宋_GB2312" w:hAnsi="仿宋_GB2312" w:eastAsia="仿宋_GB2312" w:cs="仿宋_GB2312"/>
          <w:b w:val="0"/>
          <w:bCs/>
          <w:sz w:val="28"/>
          <w:szCs w:val="28"/>
        </w:rPr>
      </w:pPr>
    </w:p>
    <w:p w14:paraId="653162D2">
      <w:pPr>
        <w:pStyle w:val="11"/>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36" w:lineRule="auto"/>
        <w:textAlignment w:val="auto"/>
        <w:rPr>
          <w:rFonts w:hint="eastAsia" w:ascii="仿宋_GB2312" w:hAnsi="仿宋_GB2312" w:eastAsia="仿宋_GB2312" w:cs="仿宋_GB2312"/>
          <w:b w:val="0"/>
          <w:bCs/>
          <w:sz w:val="28"/>
          <w:szCs w:val="28"/>
        </w:rPr>
      </w:pPr>
      <w:r>
        <w:rPr>
          <w:rStyle w:val="14"/>
          <w:rFonts w:hint="eastAsia" w:ascii="仿宋_GB2312" w:hAnsi="仿宋_GB2312" w:eastAsia="仿宋_GB2312" w:cs="仿宋_GB2312"/>
          <w:b w:val="0"/>
          <w:bCs/>
          <w:sz w:val="28"/>
          <w:szCs w:val="28"/>
        </w:rPr>
        <w:t>投标</w:t>
      </w:r>
      <w:r>
        <w:rPr>
          <w:rStyle w:val="14"/>
          <w:rFonts w:hint="eastAsia" w:ascii="仿宋_GB2312" w:hAnsi="仿宋_GB2312" w:eastAsia="仿宋_GB2312" w:cs="仿宋_GB2312"/>
          <w:b w:val="0"/>
          <w:bCs/>
          <w:sz w:val="28"/>
          <w:szCs w:val="28"/>
          <w:lang w:val="en-US" w:eastAsia="zh-CN"/>
        </w:rPr>
        <w:t>单位</w:t>
      </w:r>
      <w:r>
        <w:rPr>
          <w:rStyle w:val="14"/>
          <w:rFonts w:hint="eastAsia" w:ascii="仿宋_GB2312" w:hAnsi="仿宋_GB2312" w:eastAsia="仿宋_GB2312" w:cs="仿宋_GB2312"/>
          <w:b w:val="0"/>
          <w:bCs/>
          <w:sz w:val="28"/>
          <w:szCs w:val="28"/>
        </w:rPr>
        <w:t>名称（公章）：</w:t>
      </w:r>
    </w:p>
    <w:p w14:paraId="07D9E3F6">
      <w:pPr>
        <w:pStyle w:val="11"/>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36" w:lineRule="auto"/>
        <w:textAlignment w:val="auto"/>
        <w:rPr>
          <w:rFonts w:hint="eastAsia" w:ascii="仿宋_GB2312" w:hAnsi="仿宋_GB2312" w:eastAsia="仿宋_GB2312" w:cs="仿宋_GB2312"/>
          <w:b w:val="0"/>
          <w:bCs/>
          <w:sz w:val="28"/>
          <w:szCs w:val="28"/>
        </w:rPr>
      </w:pPr>
      <w:r>
        <w:rPr>
          <w:rStyle w:val="14"/>
          <w:rFonts w:hint="eastAsia" w:ascii="仿宋_GB2312" w:hAnsi="仿宋_GB2312" w:eastAsia="仿宋_GB2312" w:cs="仿宋_GB2312"/>
          <w:b w:val="0"/>
          <w:bCs/>
          <w:sz w:val="28"/>
          <w:szCs w:val="28"/>
        </w:rPr>
        <w:t>法定代表人或其授权代表（签字或盖章）：</w:t>
      </w:r>
    </w:p>
    <w:p w14:paraId="1535F89B">
      <w:pPr>
        <w:pStyle w:val="11"/>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36" w:lineRule="auto"/>
        <w:textAlignment w:val="auto"/>
        <w:rPr>
          <w:rFonts w:hint="eastAsia" w:ascii="仿宋_GB2312" w:hAnsi="仿宋_GB2312" w:eastAsia="仿宋_GB2312" w:cs="仿宋_GB2312"/>
          <w:sz w:val="32"/>
          <w:szCs w:val="32"/>
        </w:rPr>
      </w:pPr>
      <w:r>
        <w:rPr>
          <w:rStyle w:val="14"/>
          <w:rFonts w:hint="eastAsia" w:ascii="仿宋_GB2312" w:hAnsi="仿宋_GB2312" w:eastAsia="仿宋_GB2312" w:cs="仿宋_GB2312"/>
          <w:b w:val="0"/>
          <w:bCs/>
          <w:sz w:val="28"/>
          <w:szCs w:val="28"/>
        </w:rPr>
        <w:t>日期</w:t>
      </w:r>
      <w:r>
        <w:rPr>
          <w:rStyle w:val="14"/>
          <w:rFonts w:hint="eastAsia" w:ascii="仿宋_GB2312" w:hAnsi="仿宋_GB2312" w:eastAsia="仿宋_GB2312" w:cs="仿宋_GB2312"/>
          <w:sz w:val="28"/>
          <w:szCs w:val="28"/>
        </w:rPr>
        <w:t>：</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 年</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 月</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 日</w:t>
      </w:r>
      <w:bookmarkStart w:id="0" w:name="_GoBack"/>
      <w:bookmarkEnd w:id="0"/>
    </w:p>
    <w:p w14:paraId="5FB2F297">
      <w:pPr>
        <w:jc w:val="both"/>
        <w:rPr>
          <w:rFonts w:hint="eastAsia" w:ascii="仿宋_GB2312" w:hAnsi="仿宋_GB2312" w:eastAsia="仿宋_GB2312" w:cs="仿宋_GB2312"/>
          <w:b/>
          <w:bCs/>
          <w:color w:val="000000"/>
          <w:kern w:val="2"/>
          <w:sz w:val="32"/>
          <w:szCs w:val="32"/>
          <w:highlight w:val="none"/>
          <w:lang w:val="en-US" w:eastAsia="zh-CN" w:bidi="ar-SA"/>
        </w:rPr>
      </w:pPr>
      <w:r>
        <w:rPr>
          <w:rFonts w:hint="eastAsia" w:ascii="仿宋_GB2312" w:hAnsi="仿宋_GB2312" w:eastAsia="仿宋_GB2312" w:cs="仿宋_GB2312"/>
          <w:b/>
          <w:bCs/>
          <w:color w:val="000000"/>
          <w:kern w:val="2"/>
          <w:sz w:val="32"/>
          <w:szCs w:val="32"/>
          <w:highlight w:val="none"/>
          <w:lang w:val="en-US" w:eastAsia="zh-CN" w:bidi="ar-SA"/>
        </w:rPr>
        <w:t>项目需求书及商务条款响应情况表</w:t>
      </w:r>
    </w:p>
    <w:tbl>
      <w:tblPr>
        <w:tblStyle w:val="12"/>
        <w:tblW w:w="88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17"/>
        <w:gridCol w:w="5623"/>
        <w:gridCol w:w="1432"/>
        <w:gridCol w:w="644"/>
        <w:gridCol w:w="522"/>
      </w:tblGrid>
      <w:tr w14:paraId="12E76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43"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3B477">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序号</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19A91">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招标需求参数</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BEA2B">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投标实际参数是否偏离（无偏离/正偏离/负偏离）</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3DFD4">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偏离简述</w:t>
            </w:r>
          </w:p>
        </w:tc>
        <w:tc>
          <w:tcPr>
            <w:tcW w:w="5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ECEAD">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佐证材料页码</w:t>
            </w:r>
          </w:p>
        </w:tc>
      </w:tr>
      <w:tr w14:paraId="61AFB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6"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C587F">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top"/>
          </w:tcPr>
          <w:p w14:paraId="770B4CD5">
            <w:pPr>
              <w:numPr>
                <w:ilvl w:val="0"/>
                <w:numId w:val="0"/>
              </w:numPr>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（一）项目要求</w:t>
            </w:r>
          </w:p>
          <w:p w14:paraId="0FDCBA8E">
            <w:pPr>
              <w:numPr>
                <w:ilvl w:val="0"/>
                <w:numId w:val="0"/>
              </w:numP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1.服务范围:</w:t>
            </w:r>
          </w:p>
          <w:tbl>
            <w:tblPr>
              <w:tblStyle w:val="12"/>
              <w:tblpPr w:leftFromText="180" w:rightFromText="180" w:vertAnchor="text" w:horzAnchor="page" w:tblpX="-120" w:tblpY="247"/>
              <w:tblOverlap w:val="never"/>
              <w:tblW w:w="5636" w:type="dxa"/>
              <w:tblInd w:w="0" w:type="dxa"/>
              <w:tblLayout w:type="fixed"/>
              <w:tblCellMar>
                <w:top w:w="0" w:type="dxa"/>
                <w:left w:w="108" w:type="dxa"/>
                <w:bottom w:w="0" w:type="dxa"/>
                <w:right w:w="108" w:type="dxa"/>
              </w:tblCellMar>
            </w:tblPr>
            <w:tblGrid>
              <w:gridCol w:w="2083"/>
              <w:gridCol w:w="1738"/>
              <w:gridCol w:w="720"/>
              <w:gridCol w:w="1095"/>
            </w:tblGrid>
            <w:tr w14:paraId="06984E48">
              <w:tblPrEx>
                <w:tblCellMar>
                  <w:top w:w="0" w:type="dxa"/>
                  <w:left w:w="108" w:type="dxa"/>
                  <w:bottom w:w="0" w:type="dxa"/>
                  <w:right w:w="108" w:type="dxa"/>
                </w:tblCellMar>
              </w:tblPrEx>
              <w:trPr>
                <w:trHeight w:val="320" w:hRule="atLeast"/>
              </w:trPr>
              <w:tc>
                <w:tcPr>
                  <w:tcW w:w="2083" w:type="dxa"/>
                  <w:tcBorders>
                    <w:top w:val="single" w:color="auto" w:sz="4" w:space="0"/>
                    <w:left w:val="single" w:color="auto" w:sz="4" w:space="0"/>
                    <w:bottom w:val="single" w:color="auto" w:sz="4" w:space="0"/>
                    <w:right w:val="single" w:color="auto" w:sz="4" w:space="0"/>
                  </w:tcBorders>
                  <w:vAlign w:val="center"/>
                </w:tcPr>
                <w:p w14:paraId="11321398">
                  <w:pPr>
                    <w:jc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设备名称</w:t>
                  </w:r>
                </w:p>
              </w:tc>
              <w:tc>
                <w:tcPr>
                  <w:tcW w:w="1738" w:type="dxa"/>
                  <w:tcBorders>
                    <w:top w:val="single" w:color="auto" w:sz="4" w:space="0"/>
                    <w:left w:val="single" w:color="auto" w:sz="4" w:space="0"/>
                    <w:bottom w:val="single" w:color="auto" w:sz="4" w:space="0"/>
                    <w:right w:val="single" w:color="auto" w:sz="4" w:space="0"/>
                  </w:tcBorders>
                  <w:vAlign w:val="center"/>
                </w:tcPr>
                <w:p w14:paraId="2A551948">
                  <w:pPr>
                    <w:jc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型号</w:t>
                  </w:r>
                </w:p>
              </w:tc>
              <w:tc>
                <w:tcPr>
                  <w:tcW w:w="720" w:type="dxa"/>
                  <w:tcBorders>
                    <w:top w:val="single" w:color="auto" w:sz="4" w:space="0"/>
                    <w:left w:val="single" w:color="auto" w:sz="4" w:space="0"/>
                    <w:bottom w:val="single" w:color="auto" w:sz="4" w:space="0"/>
                    <w:right w:val="single" w:color="auto" w:sz="4" w:space="0"/>
                  </w:tcBorders>
                  <w:vAlign w:val="center"/>
                </w:tcPr>
                <w:p w14:paraId="32E827CF">
                  <w:pPr>
                    <w:jc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数量</w:t>
                  </w:r>
                </w:p>
              </w:tc>
              <w:tc>
                <w:tcPr>
                  <w:tcW w:w="1095" w:type="dxa"/>
                  <w:tcBorders>
                    <w:top w:val="single" w:color="auto" w:sz="4" w:space="0"/>
                    <w:left w:val="single" w:color="auto" w:sz="4" w:space="0"/>
                    <w:bottom w:val="single" w:color="auto" w:sz="4" w:space="0"/>
                    <w:right w:val="single" w:color="auto" w:sz="4" w:space="0"/>
                  </w:tcBorders>
                  <w:vAlign w:val="center"/>
                </w:tcPr>
                <w:p w14:paraId="37862696">
                  <w:pPr>
                    <w:jc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单位</w:t>
                  </w:r>
                </w:p>
              </w:tc>
            </w:tr>
            <w:tr w14:paraId="5C01DB25">
              <w:tblPrEx>
                <w:tblCellMar>
                  <w:top w:w="0" w:type="dxa"/>
                  <w:left w:w="108" w:type="dxa"/>
                  <w:bottom w:w="0" w:type="dxa"/>
                  <w:right w:w="108" w:type="dxa"/>
                </w:tblCellMar>
              </w:tblPrEx>
              <w:trPr>
                <w:trHeight w:val="320" w:hRule="atLeast"/>
              </w:trPr>
              <w:tc>
                <w:tcPr>
                  <w:tcW w:w="2083" w:type="dxa"/>
                  <w:tcBorders>
                    <w:top w:val="single" w:color="auto" w:sz="4" w:space="0"/>
                    <w:left w:val="single" w:color="auto" w:sz="4" w:space="0"/>
                    <w:bottom w:val="single" w:color="auto" w:sz="4" w:space="0"/>
                    <w:right w:val="single" w:color="auto" w:sz="4" w:space="0"/>
                  </w:tcBorders>
                  <w:vAlign w:val="center"/>
                </w:tcPr>
                <w:p w14:paraId="58468492">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超声清洗器</w:t>
                  </w:r>
                </w:p>
              </w:tc>
              <w:tc>
                <w:tcPr>
                  <w:tcW w:w="1738" w:type="dxa"/>
                  <w:tcBorders>
                    <w:top w:val="single" w:color="auto" w:sz="4" w:space="0"/>
                    <w:left w:val="single" w:color="auto" w:sz="4" w:space="0"/>
                    <w:bottom w:val="single" w:color="auto" w:sz="4" w:space="0"/>
                    <w:right w:val="single" w:color="auto" w:sz="4" w:space="0"/>
                  </w:tcBorders>
                  <w:vAlign w:val="center"/>
                </w:tcPr>
                <w:p w14:paraId="74F6748D">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YZ—ΙΙ</w:t>
                  </w:r>
                </w:p>
              </w:tc>
              <w:tc>
                <w:tcPr>
                  <w:tcW w:w="720" w:type="dxa"/>
                  <w:tcBorders>
                    <w:top w:val="single" w:color="auto" w:sz="4" w:space="0"/>
                    <w:left w:val="single" w:color="auto" w:sz="4" w:space="0"/>
                    <w:bottom w:val="single" w:color="auto" w:sz="4" w:space="0"/>
                    <w:right w:val="single" w:color="auto" w:sz="4" w:space="0"/>
                  </w:tcBorders>
                  <w:vAlign w:val="center"/>
                </w:tcPr>
                <w:p w14:paraId="5BD225AE">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1095" w:type="dxa"/>
                  <w:tcBorders>
                    <w:top w:val="single" w:color="auto" w:sz="4" w:space="0"/>
                    <w:left w:val="single" w:color="auto" w:sz="4" w:space="0"/>
                    <w:bottom w:val="single" w:color="auto" w:sz="4" w:space="0"/>
                    <w:right w:val="single" w:color="auto" w:sz="4" w:space="0"/>
                  </w:tcBorders>
                  <w:vAlign w:val="center"/>
                </w:tcPr>
                <w:p w14:paraId="694B3C5E">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台</w:t>
                  </w:r>
                </w:p>
              </w:tc>
            </w:tr>
            <w:tr w14:paraId="4CE87266">
              <w:tblPrEx>
                <w:tblCellMar>
                  <w:top w:w="0" w:type="dxa"/>
                  <w:left w:w="108" w:type="dxa"/>
                  <w:bottom w:w="0" w:type="dxa"/>
                  <w:right w:w="108" w:type="dxa"/>
                </w:tblCellMar>
              </w:tblPrEx>
              <w:trPr>
                <w:trHeight w:val="320" w:hRule="atLeast"/>
              </w:trPr>
              <w:tc>
                <w:tcPr>
                  <w:tcW w:w="2083" w:type="dxa"/>
                  <w:tcBorders>
                    <w:top w:val="single" w:color="auto" w:sz="4" w:space="0"/>
                    <w:left w:val="single" w:color="auto" w:sz="4" w:space="0"/>
                    <w:bottom w:val="single" w:color="auto" w:sz="4" w:space="0"/>
                    <w:right w:val="single" w:color="auto" w:sz="4" w:space="0"/>
                  </w:tcBorders>
                  <w:vAlign w:val="center"/>
                </w:tcPr>
                <w:p w14:paraId="14404035">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煮沸消毒器</w:t>
                  </w:r>
                </w:p>
              </w:tc>
              <w:tc>
                <w:tcPr>
                  <w:tcW w:w="1738" w:type="dxa"/>
                  <w:tcBorders>
                    <w:top w:val="single" w:color="auto" w:sz="4" w:space="0"/>
                    <w:left w:val="single" w:color="auto" w:sz="4" w:space="0"/>
                    <w:bottom w:val="single" w:color="auto" w:sz="4" w:space="0"/>
                    <w:right w:val="single" w:color="auto" w:sz="4" w:space="0"/>
                  </w:tcBorders>
                  <w:vAlign w:val="center"/>
                </w:tcPr>
                <w:p w14:paraId="296B5A62">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YC—ΙΙ</w:t>
                  </w:r>
                </w:p>
              </w:tc>
              <w:tc>
                <w:tcPr>
                  <w:tcW w:w="720" w:type="dxa"/>
                  <w:tcBorders>
                    <w:top w:val="single" w:color="auto" w:sz="4" w:space="0"/>
                    <w:left w:val="single" w:color="auto" w:sz="4" w:space="0"/>
                    <w:bottom w:val="single" w:color="auto" w:sz="4" w:space="0"/>
                    <w:right w:val="single" w:color="auto" w:sz="4" w:space="0"/>
                  </w:tcBorders>
                  <w:vAlign w:val="center"/>
                </w:tcPr>
                <w:p w14:paraId="62DA94EE">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1095" w:type="dxa"/>
                  <w:tcBorders>
                    <w:top w:val="single" w:color="auto" w:sz="4" w:space="0"/>
                    <w:left w:val="single" w:color="auto" w:sz="4" w:space="0"/>
                    <w:bottom w:val="single" w:color="auto" w:sz="4" w:space="0"/>
                    <w:right w:val="single" w:color="auto" w:sz="4" w:space="0"/>
                  </w:tcBorders>
                  <w:vAlign w:val="center"/>
                </w:tcPr>
                <w:p w14:paraId="5CE771C0">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台</w:t>
                  </w:r>
                </w:p>
              </w:tc>
            </w:tr>
            <w:tr w14:paraId="5BD4DF43">
              <w:tblPrEx>
                <w:tblCellMar>
                  <w:top w:w="0" w:type="dxa"/>
                  <w:left w:w="108" w:type="dxa"/>
                  <w:bottom w:w="0" w:type="dxa"/>
                  <w:right w:w="108" w:type="dxa"/>
                </w:tblCellMar>
              </w:tblPrEx>
              <w:trPr>
                <w:trHeight w:val="320" w:hRule="atLeast"/>
              </w:trPr>
              <w:tc>
                <w:tcPr>
                  <w:tcW w:w="2083" w:type="dxa"/>
                  <w:tcBorders>
                    <w:top w:val="single" w:color="auto" w:sz="4" w:space="0"/>
                    <w:left w:val="single" w:color="auto" w:sz="4" w:space="0"/>
                    <w:bottom w:val="single" w:color="auto" w:sz="4" w:space="0"/>
                    <w:right w:val="single" w:color="auto" w:sz="4" w:space="0"/>
                  </w:tcBorders>
                  <w:vAlign w:val="center"/>
                </w:tcPr>
                <w:p w14:paraId="34A149C8">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环氧乙烷无菌器</w:t>
                  </w:r>
                </w:p>
              </w:tc>
              <w:tc>
                <w:tcPr>
                  <w:tcW w:w="1738" w:type="dxa"/>
                  <w:tcBorders>
                    <w:top w:val="single" w:color="auto" w:sz="4" w:space="0"/>
                    <w:left w:val="single" w:color="auto" w:sz="4" w:space="0"/>
                    <w:bottom w:val="single" w:color="auto" w:sz="4" w:space="0"/>
                    <w:right w:val="single" w:color="auto" w:sz="4" w:space="0"/>
                  </w:tcBorders>
                  <w:vAlign w:val="center"/>
                </w:tcPr>
                <w:p w14:paraId="4F6E5455">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5XL</w:t>
                  </w:r>
                </w:p>
              </w:tc>
              <w:tc>
                <w:tcPr>
                  <w:tcW w:w="720" w:type="dxa"/>
                  <w:tcBorders>
                    <w:top w:val="single" w:color="auto" w:sz="4" w:space="0"/>
                    <w:left w:val="single" w:color="auto" w:sz="4" w:space="0"/>
                    <w:bottom w:val="single" w:color="auto" w:sz="4" w:space="0"/>
                    <w:right w:val="single" w:color="auto" w:sz="4" w:space="0"/>
                  </w:tcBorders>
                  <w:vAlign w:val="center"/>
                </w:tcPr>
                <w:p w14:paraId="7DD2C3E0">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1095" w:type="dxa"/>
                  <w:tcBorders>
                    <w:top w:val="single" w:color="auto" w:sz="4" w:space="0"/>
                    <w:left w:val="single" w:color="auto" w:sz="4" w:space="0"/>
                    <w:bottom w:val="single" w:color="auto" w:sz="4" w:space="0"/>
                    <w:right w:val="single" w:color="auto" w:sz="4" w:space="0"/>
                  </w:tcBorders>
                  <w:vAlign w:val="center"/>
                </w:tcPr>
                <w:p w14:paraId="0C8F27E3">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台</w:t>
                  </w:r>
                </w:p>
              </w:tc>
            </w:tr>
            <w:tr w14:paraId="230F0C53">
              <w:tblPrEx>
                <w:tblCellMar>
                  <w:top w:w="0" w:type="dxa"/>
                  <w:left w:w="108" w:type="dxa"/>
                  <w:bottom w:w="0" w:type="dxa"/>
                  <w:right w:w="108" w:type="dxa"/>
                </w:tblCellMar>
              </w:tblPrEx>
              <w:trPr>
                <w:trHeight w:val="320" w:hRule="atLeast"/>
              </w:trPr>
              <w:tc>
                <w:tcPr>
                  <w:tcW w:w="2083" w:type="dxa"/>
                  <w:tcBorders>
                    <w:top w:val="single" w:color="auto" w:sz="4" w:space="0"/>
                    <w:left w:val="single" w:color="auto" w:sz="4" w:space="0"/>
                    <w:bottom w:val="single" w:color="auto" w:sz="4" w:space="0"/>
                    <w:right w:val="single" w:color="auto" w:sz="4" w:space="0"/>
                  </w:tcBorders>
                  <w:vAlign w:val="center"/>
                </w:tcPr>
                <w:p w14:paraId="562B643A">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封口机</w:t>
                  </w:r>
                </w:p>
              </w:tc>
              <w:tc>
                <w:tcPr>
                  <w:tcW w:w="1738" w:type="dxa"/>
                  <w:tcBorders>
                    <w:top w:val="single" w:color="auto" w:sz="4" w:space="0"/>
                    <w:left w:val="single" w:color="auto" w:sz="4" w:space="0"/>
                    <w:bottom w:val="single" w:color="auto" w:sz="4" w:space="0"/>
                    <w:right w:val="single" w:color="auto" w:sz="4" w:space="0"/>
                  </w:tcBorders>
                  <w:vAlign w:val="center"/>
                </w:tcPr>
                <w:p w14:paraId="476318B7">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HM850</w:t>
                  </w:r>
                </w:p>
              </w:tc>
              <w:tc>
                <w:tcPr>
                  <w:tcW w:w="720" w:type="dxa"/>
                  <w:tcBorders>
                    <w:top w:val="single" w:color="auto" w:sz="4" w:space="0"/>
                    <w:left w:val="single" w:color="auto" w:sz="4" w:space="0"/>
                    <w:bottom w:val="single" w:color="auto" w:sz="4" w:space="0"/>
                    <w:right w:val="single" w:color="auto" w:sz="4" w:space="0"/>
                  </w:tcBorders>
                  <w:vAlign w:val="center"/>
                </w:tcPr>
                <w:p w14:paraId="3C5610C5">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1095" w:type="dxa"/>
                  <w:tcBorders>
                    <w:top w:val="single" w:color="auto" w:sz="4" w:space="0"/>
                    <w:left w:val="single" w:color="auto" w:sz="4" w:space="0"/>
                    <w:bottom w:val="single" w:color="auto" w:sz="4" w:space="0"/>
                    <w:right w:val="single" w:color="auto" w:sz="4" w:space="0"/>
                  </w:tcBorders>
                  <w:vAlign w:val="center"/>
                </w:tcPr>
                <w:p w14:paraId="67B542F5">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台</w:t>
                  </w:r>
                </w:p>
              </w:tc>
            </w:tr>
            <w:tr w14:paraId="71A0F924">
              <w:tblPrEx>
                <w:tblCellMar>
                  <w:top w:w="0" w:type="dxa"/>
                  <w:left w:w="108" w:type="dxa"/>
                  <w:bottom w:w="0" w:type="dxa"/>
                  <w:right w:w="108" w:type="dxa"/>
                </w:tblCellMar>
              </w:tblPrEx>
              <w:trPr>
                <w:trHeight w:val="320" w:hRule="atLeast"/>
              </w:trPr>
              <w:tc>
                <w:tcPr>
                  <w:tcW w:w="2083" w:type="dxa"/>
                  <w:tcBorders>
                    <w:top w:val="single" w:color="auto" w:sz="4" w:space="0"/>
                    <w:left w:val="single" w:color="auto" w:sz="4" w:space="0"/>
                    <w:bottom w:val="single" w:color="auto" w:sz="4" w:space="0"/>
                    <w:right w:val="single" w:color="auto" w:sz="4" w:space="0"/>
                  </w:tcBorders>
                  <w:vAlign w:val="center"/>
                </w:tcPr>
                <w:p w14:paraId="62637C25">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切割器</w:t>
                  </w:r>
                </w:p>
              </w:tc>
              <w:tc>
                <w:tcPr>
                  <w:tcW w:w="1738" w:type="dxa"/>
                  <w:tcBorders>
                    <w:top w:val="single" w:color="auto" w:sz="4" w:space="0"/>
                    <w:left w:val="single" w:color="auto" w:sz="4" w:space="0"/>
                    <w:bottom w:val="single" w:color="auto" w:sz="4" w:space="0"/>
                    <w:right w:val="single" w:color="auto" w:sz="4" w:space="0"/>
                  </w:tcBorders>
                  <w:vAlign w:val="center"/>
                </w:tcPr>
                <w:p w14:paraId="2C8BC4E4">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w:t>
                  </w:r>
                </w:p>
              </w:tc>
              <w:tc>
                <w:tcPr>
                  <w:tcW w:w="720" w:type="dxa"/>
                  <w:tcBorders>
                    <w:top w:val="single" w:color="auto" w:sz="4" w:space="0"/>
                    <w:left w:val="single" w:color="auto" w:sz="4" w:space="0"/>
                    <w:bottom w:val="single" w:color="auto" w:sz="4" w:space="0"/>
                    <w:right w:val="single" w:color="auto" w:sz="4" w:space="0"/>
                  </w:tcBorders>
                  <w:vAlign w:val="center"/>
                </w:tcPr>
                <w:p w14:paraId="589F9E7C">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1095" w:type="dxa"/>
                  <w:tcBorders>
                    <w:top w:val="single" w:color="auto" w:sz="4" w:space="0"/>
                    <w:left w:val="single" w:color="auto" w:sz="4" w:space="0"/>
                    <w:bottom w:val="single" w:color="auto" w:sz="4" w:space="0"/>
                    <w:right w:val="single" w:color="auto" w:sz="4" w:space="0"/>
                  </w:tcBorders>
                  <w:vAlign w:val="center"/>
                </w:tcPr>
                <w:p w14:paraId="0E707255">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台</w:t>
                  </w:r>
                </w:p>
              </w:tc>
            </w:tr>
            <w:tr w14:paraId="48F1B376">
              <w:tblPrEx>
                <w:tblCellMar>
                  <w:top w:w="0" w:type="dxa"/>
                  <w:left w:w="108" w:type="dxa"/>
                  <w:bottom w:w="0" w:type="dxa"/>
                  <w:right w:w="108" w:type="dxa"/>
                </w:tblCellMar>
              </w:tblPrEx>
              <w:trPr>
                <w:trHeight w:val="320" w:hRule="atLeast"/>
              </w:trPr>
              <w:tc>
                <w:tcPr>
                  <w:tcW w:w="2083" w:type="dxa"/>
                  <w:tcBorders>
                    <w:top w:val="single" w:color="auto" w:sz="4" w:space="0"/>
                    <w:left w:val="single" w:color="auto" w:sz="4" w:space="0"/>
                    <w:bottom w:val="single" w:color="auto" w:sz="4" w:space="0"/>
                    <w:right w:val="single" w:color="auto" w:sz="4" w:space="0"/>
                  </w:tcBorders>
                  <w:vAlign w:val="center"/>
                </w:tcPr>
                <w:p w14:paraId="673C34D0">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纯水机</w:t>
                  </w:r>
                </w:p>
              </w:tc>
              <w:tc>
                <w:tcPr>
                  <w:tcW w:w="1738" w:type="dxa"/>
                  <w:tcBorders>
                    <w:top w:val="single" w:color="auto" w:sz="4" w:space="0"/>
                    <w:left w:val="single" w:color="auto" w:sz="4" w:space="0"/>
                    <w:bottom w:val="single" w:color="auto" w:sz="4" w:space="0"/>
                    <w:right w:val="single" w:color="auto" w:sz="4" w:space="0"/>
                  </w:tcBorders>
                  <w:vAlign w:val="center"/>
                </w:tcPr>
                <w:p w14:paraId="10D5A17E">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YKY-US-150L</w:t>
                  </w:r>
                </w:p>
              </w:tc>
              <w:tc>
                <w:tcPr>
                  <w:tcW w:w="720" w:type="dxa"/>
                  <w:tcBorders>
                    <w:top w:val="single" w:color="auto" w:sz="4" w:space="0"/>
                    <w:left w:val="single" w:color="auto" w:sz="4" w:space="0"/>
                    <w:bottom w:val="single" w:color="auto" w:sz="4" w:space="0"/>
                    <w:right w:val="single" w:color="auto" w:sz="4" w:space="0"/>
                  </w:tcBorders>
                  <w:vAlign w:val="center"/>
                </w:tcPr>
                <w:p w14:paraId="57080712">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1095" w:type="dxa"/>
                  <w:tcBorders>
                    <w:top w:val="single" w:color="auto" w:sz="4" w:space="0"/>
                    <w:left w:val="single" w:color="auto" w:sz="4" w:space="0"/>
                    <w:bottom w:val="single" w:color="auto" w:sz="4" w:space="0"/>
                    <w:right w:val="single" w:color="auto" w:sz="4" w:space="0"/>
                  </w:tcBorders>
                  <w:vAlign w:val="center"/>
                </w:tcPr>
                <w:p w14:paraId="5D98E411">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台</w:t>
                  </w:r>
                </w:p>
              </w:tc>
            </w:tr>
            <w:tr w14:paraId="45202268">
              <w:tblPrEx>
                <w:tblCellMar>
                  <w:top w:w="0" w:type="dxa"/>
                  <w:left w:w="108" w:type="dxa"/>
                  <w:bottom w:w="0" w:type="dxa"/>
                  <w:right w:w="108" w:type="dxa"/>
                </w:tblCellMar>
              </w:tblPrEx>
              <w:trPr>
                <w:trHeight w:val="320" w:hRule="atLeast"/>
              </w:trPr>
              <w:tc>
                <w:tcPr>
                  <w:tcW w:w="2083" w:type="dxa"/>
                  <w:tcBorders>
                    <w:top w:val="single" w:color="auto" w:sz="4" w:space="0"/>
                    <w:left w:val="single" w:color="auto" w:sz="4" w:space="0"/>
                    <w:bottom w:val="single" w:color="auto" w:sz="4" w:space="0"/>
                    <w:right w:val="single" w:color="auto" w:sz="4" w:space="0"/>
                  </w:tcBorders>
                  <w:vAlign w:val="center"/>
                </w:tcPr>
                <w:p w14:paraId="16F55AE3">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二氧化碳培养箱</w:t>
                  </w:r>
                </w:p>
              </w:tc>
              <w:tc>
                <w:tcPr>
                  <w:tcW w:w="1738" w:type="dxa"/>
                  <w:tcBorders>
                    <w:top w:val="single" w:color="auto" w:sz="4" w:space="0"/>
                    <w:left w:val="single" w:color="auto" w:sz="4" w:space="0"/>
                    <w:bottom w:val="single" w:color="auto" w:sz="4" w:space="0"/>
                    <w:right w:val="single" w:color="auto" w:sz="4" w:space="0"/>
                  </w:tcBorders>
                  <w:vAlign w:val="center"/>
                </w:tcPr>
                <w:p w14:paraId="0618AEAD">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Thermo3111</w:t>
                  </w:r>
                </w:p>
              </w:tc>
              <w:tc>
                <w:tcPr>
                  <w:tcW w:w="720" w:type="dxa"/>
                  <w:tcBorders>
                    <w:top w:val="single" w:color="auto" w:sz="4" w:space="0"/>
                    <w:left w:val="single" w:color="auto" w:sz="4" w:space="0"/>
                    <w:bottom w:val="single" w:color="auto" w:sz="4" w:space="0"/>
                    <w:right w:val="single" w:color="auto" w:sz="4" w:space="0"/>
                  </w:tcBorders>
                  <w:vAlign w:val="center"/>
                </w:tcPr>
                <w:p w14:paraId="4C1BB4BC">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1095" w:type="dxa"/>
                  <w:tcBorders>
                    <w:top w:val="single" w:color="auto" w:sz="4" w:space="0"/>
                    <w:left w:val="single" w:color="auto" w:sz="4" w:space="0"/>
                    <w:bottom w:val="single" w:color="auto" w:sz="4" w:space="0"/>
                    <w:right w:val="single" w:color="auto" w:sz="4" w:space="0"/>
                  </w:tcBorders>
                  <w:vAlign w:val="center"/>
                </w:tcPr>
                <w:p w14:paraId="2A3E5339">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台</w:t>
                  </w:r>
                </w:p>
              </w:tc>
            </w:tr>
            <w:tr w14:paraId="2701F503">
              <w:tblPrEx>
                <w:tblCellMar>
                  <w:top w:w="0" w:type="dxa"/>
                  <w:left w:w="108" w:type="dxa"/>
                  <w:bottom w:w="0" w:type="dxa"/>
                  <w:right w:w="108" w:type="dxa"/>
                </w:tblCellMar>
              </w:tblPrEx>
              <w:trPr>
                <w:trHeight w:val="334" w:hRule="atLeast"/>
              </w:trPr>
              <w:tc>
                <w:tcPr>
                  <w:tcW w:w="2083" w:type="dxa"/>
                  <w:tcBorders>
                    <w:top w:val="single" w:color="auto" w:sz="4" w:space="0"/>
                    <w:left w:val="single" w:color="auto" w:sz="4" w:space="0"/>
                    <w:bottom w:val="single" w:color="auto" w:sz="4" w:space="0"/>
                    <w:right w:val="single" w:color="auto" w:sz="4" w:space="0"/>
                  </w:tcBorders>
                  <w:vAlign w:val="center"/>
                </w:tcPr>
                <w:p w14:paraId="5E5FB3B9">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手术无影灯</w:t>
                  </w:r>
                </w:p>
              </w:tc>
              <w:tc>
                <w:tcPr>
                  <w:tcW w:w="1738" w:type="dxa"/>
                  <w:tcBorders>
                    <w:top w:val="single" w:color="auto" w:sz="4" w:space="0"/>
                    <w:left w:val="single" w:color="auto" w:sz="4" w:space="0"/>
                    <w:bottom w:val="single" w:color="auto" w:sz="4" w:space="0"/>
                    <w:right w:val="single" w:color="auto" w:sz="4" w:space="0"/>
                  </w:tcBorders>
                  <w:vAlign w:val="center"/>
                </w:tcPr>
                <w:p w14:paraId="10CD31AA">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w:t>
                  </w:r>
                </w:p>
              </w:tc>
              <w:tc>
                <w:tcPr>
                  <w:tcW w:w="720" w:type="dxa"/>
                  <w:tcBorders>
                    <w:top w:val="single" w:color="auto" w:sz="4" w:space="0"/>
                    <w:left w:val="single" w:color="auto" w:sz="4" w:space="0"/>
                    <w:bottom w:val="single" w:color="auto" w:sz="4" w:space="0"/>
                    <w:right w:val="single" w:color="auto" w:sz="4" w:space="0"/>
                  </w:tcBorders>
                  <w:vAlign w:val="center"/>
                </w:tcPr>
                <w:p w14:paraId="5F8D1796">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1095" w:type="dxa"/>
                  <w:tcBorders>
                    <w:top w:val="single" w:color="auto" w:sz="4" w:space="0"/>
                    <w:left w:val="single" w:color="auto" w:sz="4" w:space="0"/>
                    <w:bottom w:val="single" w:color="auto" w:sz="4" w:space="0"/>
                    <w:right w:val="single" w:color="auto" w:sz="4" w:space="0"/>
                  </w:tcBorders>
                  <w:vAlign w:val="center"/>
                </w:tcPr>
                <w:p w14:paraId="4F686BB2">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台</w:t>
                  </w:r>
                </w:p>
              </w:tc>
            </w:tr>
          </w:tbl>
          <w:p w14:paraId="7004DE3C">
            <w:pPr>
              <w:jc w:val="both"/>
              <w:rPr>
                <w:rFonts w:hint="eastAsia" w:ascii="仿宋" w:hAnsi="仿宋" w:eastAsia="仿宋" w:cs="仿宋"/>
                <w:i w:val="0"/>
                <w:iCs w:val="0"/>
                <w:color w:val="000000"/>
                <w:sz w:val="28"/>
                <w:szCs w:val="28"/>
                <w:u w:val="none"/>
                <w:lang w:val="en-US"/>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5267A">
            <w:pPr>
              <w:rPr>
                <w:rFonts w:hint="eastAsia" w:ascii="仿宋" w:hAnsi="仿宋" w:eastAsia="仿宋" w:cs="仿宋"/>
                <w:i w:val="0"/>
                <w:iCs w:val="0"/>
                <w:color w:val="000000"/>
                <w:sz w:val="28"/>
                <w:szCs w:val="28"/>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05DF8">
            <w:pPr>
              <w:rPr>
                <w:rFonts w:hint="eastAsia" w:ascii="仿宋" w:hAnsi="仿宋" w:eastAsia="仿宋" w:cs="仿宋"/>
                <w:i w:val="0"/>
                <w:iCs w:val="0"/>
                <w:color w:val="000000"/>
                <w:sz w:val="28"/>
                <w:szCs w:val="28"/>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432A6">
            <w:pPr>
              <w:rPr>
                <w:rFonts w:hint="eastAsia" w:ascii="仿宋" w:hAnsi="仿宋" w:eastAsia="仿宋" w:cs="仿宋"/>
                <w:i w:val="0"/>
                <w:iCs w:val="0"/>
                <w:color w:val="000000"/>
                <w:sz w:val="28"/>
                <w:szCs w:val="28"/>
                <w:u w:val="none"/>
              </w:rPr>
            </w:pPr>
          </w:p>
        </w:tc>
      </w:tr>
      <w:tr w14:paraId="71C1C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6CA0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14064">
            <w:pPr>
              <w:numPr>
                <w:ilvl w:val="0"/>
                <w:numId w:val="0"/>
              </w:numP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2.技术人员要求：需有厂家技术培训合格证书的专业工程师负责本项目实施，并提供相关资格证明材料。</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E832F">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9AB95">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6BC2D">
            <w:pPr>
              <w:rPr>
                <w:rFonts w:hint="eastAsia" w:ascii="仿宋" w:hAnsi="仿宋" w:eastAsia="仿宋" w:cs="仿宋"/>
                <w:i w:val="0"/>
                <w:iCs w:val="0"/>
                <w:color w:val="000000"/>
                <w:sz w:val="24"/>
                <w:szCs w:val="24"/>
                <w:u w:val="none"/>
              </w:rPr>
            </w:pPr>
          </w:p>
        </w:tc>
      </w:tr>
      <w:tr w14:paraId="6E7B7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6"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8AFC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D89B4">
            <w:pPr>
              <w:pStyle w:val="2"/>
              <w:numPr>
                <w:ilvl w:val="0"/>
                <w:numId w:val="0"/>
              </w:numP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★3.报价包含但不限于以下内容：人工费、拆卸/打包费用、搬用费用、车辆运输费用、设备安装调试费、包装材料费、标签费、含球管维修费（如有）等完成本项目所需一切费用。</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12AEA">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51D02">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43DFD">
            <w:pPr>
              <w:rPr>
                <w:rFonts w:hint="eastAsia" w:ascii="仿宋" w:hAnsi="仿宋" w:eastAsia="仿宋" w:cs="仿宋"/>
                <w:i w:val="0"/>
                <w:iCs w:val="0"/>
                <w:color w:val="000000"/>
                <w:sz w:val="24"/>
                <w:szCs w:val="24"/>
                <w:u w:val="none"/>
              </w:rPr>
            </w:pPr>
          </w:p>
        </w:tc>
      </w:tr>
      <w:tr w14:paraId="28F1B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4"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1CA2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F3A4B">
            <w:pPr>
              <w:pStyle w:val="2"/>
              <w:numPr>
                <w:ilvl w:val="0"/>
                <w:numId w:val="0"/>
              </w:numPr>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（二）服务内容：</w:t>
            </w:r>
          </w:p>
          <w:p w14:paraId="7999C07D">
            <w:pPr>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1.项目管理要求</w:t>
            </w:r>
          </w:p>
          <w:p w14:paraId="3501E2C4">
            <w:pPr>
              <w:pStyle w:val="2"/>
              <w:numPr>
                <w:ilvl w:val="0"/>
                <w:numId w:val="0"/>
              </w:numP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（1）中标人开工前须筹备搬迁工作小组，设置搬迁组织管理架构，明确岗位职责，对项目安全、高效地进行统筹管理。</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9E1CB">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7C48F">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2695D">
            <w:pPr>
              <w:rPr>
                <w:rFonts w:hint="eastAsia" w:ascii="仿宋" w:hAnsi="仿宋" w:eastAsia="仿宋" w:cs="仿宋"/>
                <w:i w:val="0"/>
                <w:iCs w:val="0"/>
                <w:color w:val="000000"/>
                <w:sz w:val="24"/>
                <w:szCs w:val="24"/>
                <w:u w:val="none"/>
              </w:rPr>
            </w:pPr>
          </w:p>
        </w:tc>
      </w:tr>
      <w:tr w14:paraId="66F8C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5"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88DD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C83CF">
            <w:pPr>
              <w:pStyle w:val="2"/>
              <w:numPr>
                <w:ilvl w:val="0"/>
                <w:numId w:val="0"/>
              </w:numP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（2）中标人负责本项目搬迁的负责人必须是中标人的长期固定员工，具备符合本项目对应的项目管理经验。</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CCCB1">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1EBA5">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FFDF3">
            <w:pPr>
              <w:rPr>
                <w:rFonts w:hint="eastAsia" w:ascii="仿宋" w:hAnsi="仿宋" w:eastAsia="仿宋" w:cs="仿宋"/>
                <w:i w:val="0"/>
                <w:iCs w:val="0"/>
                <w:color w:val="000000"/>
                <w:sz w:val="24"/>
                <w:szCs w:val="24"/>
                <w:u w:val="none"/>
              </w:rPr>
            </w:pPr>
          </w:p>
        </w:tc>
      </w:tr>
      <w:tr w14:paraId="4D2A8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3"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DE5F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97098">
            <w:pPr>
              <w:pStyle w:val="2"/>
              <w:numPr>
                <w:ilvl w:val="0"/>
                <w:numId w:val="0"/>
              </w:numP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（3）中标人必须有满足本搬迁项目所需的足够的搬运工人及相关设备工具。项目团队成员组织科学，服从招标人指挥，投入搬迁团队购买意外险及缴纳社保。</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2490C">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B9CA2">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981F8">
            <w:pPr>
              <w:rPr>
                <w:rFonts w:hint="eastAsia" w:ascii="仿宋" w:hAnsi="仿宋" w:eastAsia="仿宋" w:cs="仿宋"/>
                <w:i w:val="0"/>
                <w:iCs w:val="0"/>
                <w:color w:val="000000"/>
                <w:sz w:val="24"/>
                <w:szCs w:val="24"/>
                <w:u w:val="none"/>
              </w:rPr>
            </w:pPr>
          </w:p>
        </w:tc>
      </w:tr>
      <w:tr w14:paraId="03575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1"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7F4B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9B5C8">
            <w:pPr>
              <w:pStyle w:val="2"/>
              <w:numPr>
                <w:ilvl w:val="0"/>
                <w:numId w:val="0"/>
              </w:numP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（4）搬运人员要形象整齐、服装统一，服从安排，服务意识</w:t>
            </w:r>
            <w:r>
              <w:rPr>
                <w:rFonts w:hint="eastAsia" w:ascii="仿宋" w:hAnsi="仿宋" w:eastAsia="仿宋" w:cs="仿宋"/>
                <w:b w:val="0"/>
                <w:bCs w:val="0"/>
                <w:color w:val="000000"/>
                <w:kern w:val="0"/>
                <w:sz w:val="24"/>
                <w:szCs w:val="24"/>
                <w:lang w:val="en-US" w:eastAsia="zh-CN" w:bidi="ar"/>
              </w:rPr>
              <w:t>强，安全防范意识强。</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5D3E1">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EAE31">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5E271">
            <w:pPr>
              <w:rPr>
                <w:rFonts w:hint="eastAsia" w:ascii="仿宋" w:hAnsi="仿宋" w:eastAsia="仿宋" w:cs="仿宋"/>
                <w:i w:val="0"/>
                <w:iCs w:val="0"/>
                <w:color w:val="000000"/>
                <w:sz w:val="24"/>
                <w:szCs w:val="24"/>
                <w:u w:val="none"/>
              </w:rPr>
            </w:pPr>
          </w:p>
        </w:tc>
      </w:tr>
      <w:tr w14:paraId="2FBF2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4827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1FE2B">
            <w:pPr>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2.项目服务要求</w:t>
            </w:r>
          </w:p>
          <w:p w14:paraId="110F5D4E">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1）中标人自行负责搬迁所需要的运输车辆、特种设备、项目管理人员、设备工程师、特殊工种人员、搬运人员及设备拆装工具、包装材料及小件物品纸箱、转运箱等物品。中标人需提供搬迁最低要求配置的车辆类型、牌照及起重设备操作人员、机电设备安装调试人员应持有相应的操作证、电工证等资格证书等。</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63F8A">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D6819">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C668C">
            <w:pPr>
              <w:rPr>
                <w:rFonts w:hint="eastAsia" w:ascii="仿宋" w:hAnsi="仿宋" w:eastAsia="仿宋" w:cs="仿宋"/>
                <w:i w:val="0"/>
                <w:iCs w:val="0"/>
                <w:color w:val="000000"/>
                <w:sz w:val="24"/>
                <w:szCs w:val="24"/>
                <w:u w:val="none"/>
              </w:rPr>
            </w:pPr>
          </w:p>
        </w:tc>
      </w:tr>
      <w:tr w14:paraId="6B0A8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0A7A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72983">
            <w:pPr>
              <w:pStyle w:val="2"/>
              <w:numPr>
                <w:ilvl w:val="0"/>
                <w:numId w:val="0"/>
              </w:numP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2）对医疗设备有针对性地采取保护措施，采用厚泡沫或软布料对其裸露部分进行特别包装保护，不得因拆、装卸、运输或组装过程中发生损伤或划伤的现象。如造成货物缺失或损坏，招标人有权要求中标人赔偿，有价物品按市价赔偿，无价物品视给招标人造成损失大小赔偿。</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862E7">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D3DAE">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72825">
            <w:pPr>
              <w:rPr>
                <w:rFonts w:hint="eastAsia" w:ascii="仿宋" w:hAnsi="仿宋" w:eastAsia="仿宋" w:cs="仿宋"/>
                <w:i w:val="0"/>
                <w:iCs w:val="0"/>
                <w:color w:val="000000"/>
                <w:sz w:val="24"/>
                <w:szCs w:val="24"/>
                <w:u w:val="none"/>
              </w:rPr>
            </w:pPr>
          </w:p>
        </w:tc>
      </w:tr>
      <w:tr w14:paraId="2C120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960F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84049">
            <w:pPr>
              <w:pStyle w:val="2"/>
              <w:numPr>
                <w:ilvl w:val="0"/>
                <w:numId w:val="0"/>
              </w:numP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（3）中标人在搬运过程中应保证搬迁仪器设备及招标人地点的地面、墙面、门等原有装修的完好无损，如造成损失由中标人承担赔偿责任。</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27714">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849DE">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1ECD5">
            <w:pPr>
              <w:rPr>
                <w:rFonts w:hint="eastAsia" w:ascii="仿宋" w:hAnsi="仿宋" w:eastAsia="仿宋" w:cs="仿宋"/>
                <w:i w:val="0"/>
                <w:iCs w:val="0"/>
                <w:color w:val="000000"/>
                <w:sz w:val="24"/>
                <w:szCs w:val="24"/>
                <w:u w:val="none"/>
              </w:rPr>
            </w:pPr>
          </w:p>
        </w:tc>
      </w:tr>
      <w:tr w14:paraId="1E9B6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CBF7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F5BCD">
            <w:pPr>
              <w:pStyle w:val="2"/>
              <w:numPr>
                <w:ilvl w:val="0"/>
                <w:numId w:val="0"/>
              </w:numP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（4）中标人如违反有关规定、条款，招标人有权按照相关规定、法律追究中标人相关责任。</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AB739">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11818">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747D1">
            <w:pPr>
              <w:rPr>
                <w:rFonts w:hint="eastAsia" w:ascii="仿宋" w:hAnsi="仿宋" w:eastAsia="仿宋" w:cs="仿宋"/>
                <w:i w:val="0"/>
                <w:iCs w:val="0"/>
                <w:color w:val="000000"/>
                <w:sz w:val="24"/>
                <w:szCs w:val="24"/>
                <w:u w:val="none"/>
              </w:rPr>
            </w:pPr>
          </w:p>
        </w:tc>
      </w:tr>
      <w:tr w14:paraId="7949C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E489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6A19B">
            <w:pPr>
              <w:pStyle w:val="2"/>
              <w:numPr>
                <w:ilvl w:val="0"/>
                <w:numId w:val="0"/>
              </w:numP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（5）所有物资搬迁完成后，提供设施设备布局调整的搬移服务、零星遗漏物资搬迁的时间。</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FB86A">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3C253">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3BED8">
            <w:pPr>
              <w:rPr>
                <w:rFonts w:hint="eastAsia" w:ascii="仿宋" w:hAnsi="仿宋" w:eastAsia="仿宋" w:cs="仿宋"/>
                <w:i w:val="0"/>
                <w:iCs w:val="0"/>
                <w:color w:val="000000"/>
                <w:sz w:val="24"/>
                <w:szCs w:val="24"/>
                <w:u w:val="none"/>
              </w:rPr>
            </w:pPr>
          </w:p>
        </w:tc>
      </w:tr>
      <w:tr w14:paraId="4C34E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8"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D7EA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C7555">
            <w:pPr>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3.技术要求</w:t>
            </w:r>
          </w:p>
          <w:p w14:paraId="23FDB4A5">
            <w:pPr>
              <w:pStyle w:val="2"/>
              <w:numPr>
                <w:ilvl w:val="0"/>
                <w:numId w:val="0"/>
              </w:numP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（1）搬迁前需对所需搬迁单位的物品按部门进行核定清点，并做好物品造册登记交接，双方确定数量后方可搬迁，搬迁后双方确认数量无误、无损坏后签字验收。</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16EFC">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C718C">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57B6F">
            <w:pPr>
              <w:rPr>
                <w:rFonts w:hint="eastAsia" w:ascii="仿宋" w:hAnsi="仿宋" w:eastAsia="仿宋" w:cs="仿宋"/>
                <w:i w:val="0"/>
                <w:iCs w:val="0"/>
                <w:color w:val="000000"/>
                <w:sz w:val="24"/>
                <w:szCs w:val="24"/>
                <w:u w:val="none"/>
              </w:rPr>
            </w:pPr>
          </w:p>
        </w:tc>
      </w:tr>
      <w:tr w14:paraId="7EE6A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614A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0234D">
            <w:pPr>
              <w:pStyle w:val="2"/>
              <w:numPr>
                <w:ilvl w:val="0"/>
                <w:numId w:val="0"/>
              </w:numP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（2）重要设备必须先确认设备性能是否正常，对于有缺陷、本身存在问题的设备先登记确认。</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A295E">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0E54A">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9C9D8">
            <w:pPr>
              <w:rPr>
                <w:rFonts w:hint="eastAsia" w:ascii="仿宋" w:hAnsi="仿宋" w:eastAsia="仿宋" w:cs="仿宋"/>
                <w:i w:val="0"/>
                <w:iCs w:val="0"/>
                <w:color w:val="000000"/>
                <w:sz w:val="24"/>
                <w:szCs w:val="24"/>
                <w:u w:val="none"/>
              </w:rPr>
            </w:pPr>
          </w:p>
        </w:tc>
      </w:tr>
      <w:tr w14:paraId="6CD8A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6"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85AD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F1553">
            <w:pPr>
              <w:pStyle w:val="2"/>
              <w:numPr>
                <w:ilvl w:val="0"/>
                <w:numId w:val="0"/>
              </w:numP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（3）搬迁前，中标人先做出搬迁部门的先后顺序，以及每个部门大概需要的时间，以便使用单位提前做好准备。</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BC198">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69950">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F33AF">
            <w:pPr>
              <w:rPr>
                <w:rFonts w:hint="eastAsia" w:ascii="仿宋" w:hAnsi="仿宋" w:eastAsia="仿宋" w:cs="仿宋"/>
                <w:i w:val="0"/>
                <w:iCs w:val="0"/>
                <w:color w:val="000000"/>
                <w:sz w:val="24"/>
                <w:szCs w:val="24"/>
                <w:u w:val="none"/>
              </w:rPr>
            </w:pPr>
          </w:p>
        </w:tc>
      </w:tr>
      <w:tr w14:paraId="7B412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2"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DB72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4AED7">
            <w:pPr>
              <w:pStyle w:val="2"/>
              <w:numPr>
                <w:ilvl w:val="0"/>
                <w:numId w:val="0"/>
              </w:numP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（4）搬迁前7天中标人包装材料和纸箱运送到使用单位，并分发到各部门。</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50997">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5EAA0">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588F1">
            <w:pPr>
              <w:rPr>
                <w:rFonts w:hint="eastAsia" w:ascii="仿宋" w:hAnsi="仿宋" w:eastAsia="仿宋" w:cs="仿宋"/>
                <w:i w:val="0"/>
                <w:iCs w:val="0"/>
                <w:color w:val="000000"/>
                <w:sz w:val="24"/>
                <w:szCs w:val="24"/>
                <w:u w:val="none"/>
              </w:rPr>
            </w:pPr>
          </w:p>
        </w:tc>
      </w:tr>
      <w:tr w14:paraId="2EDAA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3"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650E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7069B">
            <w:pPr>
              <w:pStyle w:val="2"/>
              <w:numPr>
                <w:ilvl w:val="0"/>
                <w:numId w:val="0"/>
              </w:numP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（5）物品搬迁必须按照使用单位需求放置到指定的位置。</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93244">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08E0A">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14621">
            <w:pPr>
              <w:rPr>
                <w:rFonts w:hint="eastAsia" w:ascii="仿宋" w:hAnsi="仿宋" w:eastAsia="仿宋" w:cs="仿宋"/>
                <w:i w:val="0"/>
                <w:iCs w:val="0"/>
                <w:color w:val="000000"/>
                <w:sz w:val="24"/>
                <w:szCs w:val="24"/>
                <w:u w:val="none"/>
              </w:rPr>
            </w:pPr>
          </w:p>
        </w:tc>
      </w:tr>
      <w:tr w14:paraId="0782D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1"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A401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29530">
            <w:pPr>
              <w:pStyle w:val="2"/>
              <w:numPr>
                <w:ilvl w:val="0"/>
                <w:numId w:val="0"/>
              </w:numP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（6）设备仪器需要专业技术人员进行拆装调试，确保仪器设备搬迁到新址后能正常使用。</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D46EE">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535A6">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0794D">
            <w:pPr>
              <w:rPr>
                <w:rFonts w:hint="eastAsia" w:ascii="仿宋" w:hAnsi="仿宋" w:eastAsia="仿宋" w:cs="仿宋"/>
                <w:i w:val="0"/>
                <w:iCs w:val="0"/>
                <w:color w:val="000000"/>
                <w:sz w:val="24"/>
                <w:szCs w:val="24"/>
                <w:u w:val="none"/>
              </w:rPr>
            </w:pPr>
          </w:p>
        </w:tc>
      </w:tr>
      <w:tr w14:paraId="30FDA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2D31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62A8E">
            <w:pPr>
              <w:pStyle w:val="2"/>
              <w:numPr>
                <w:ilvl w:val="0"/>
                <w:numId w:val="0"/>
              </w:numP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（7）贵重仪器设备施工单位必须购买相应数额的保险。</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779DB">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8AB5D">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AAD5A">
            <w:pPr>
              <w:rPr>
                <w:rFonts w:hint="eastAsia" w:ascii="仿宋" w:hAnsi="仿宋" w:eastAsia="仿宋" w:cs="仿宋"/>
                <w:i w:val="0"/>
                <w:iCs w:val="0"/>
                <w:color w:val="000000"/>
                <w:sz w:val="24"/>
                <w:szCs w:val="24"/>
                <w:u w:val="none"/>
              </w:rPr>
            </w:pPr>
          </w:p>
        </w:tc>
      </w:tr>
      <w:tr w14:paraId="38620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D174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5ED8A">
            <w:pPr>
              <w:pStyle w:val="2"/>
              <w:numPr>
                <w:ilvl w:val="0"/>
                <w:numId w:val="0"/>
              </w:numP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（8）贵重、精密仪器设备搬迁前，施工单位必须采用可靠的保护措施，包括使用专业木箱包装、软物填充、防震保护等措施。</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FE327">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1077D">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230A2">
            <w:pPr>
              <w:rPr>
                <w:rFonts w:hint="eastAsia" w:ascii="仿宋" w:hAnsi="仿宋" w:eastAsia="仿宋" w:cs="仿宋"/>
                <w:i w:val="0"/>
                <w:iCs w:val="0"/>
                <w:color w:val="000000"/>
                <w:sz w:val="24"/>
                <w:szCs w:val="24"/>
                <w:u w:val="none"/>
              </w:rPr>
            </w:pPr>
          </w:p>
        </w:tc>
      </w:tr>
      <w:tr w14:paraId="20EF5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6"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A29C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FCAF9">
            <w:pPr>
              <w:pStyle w:val="2"/>
              <w:numPr>
                <w:ilvl w:val="0"/>
                <w:numId w:val="0"/>
              </w:numP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（9）少许特大件设备需要动用起重设备和叉车。</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90DE5">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D1F31">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D23DE">
            <w:pPr>
              <w:rPr>
                <w:rFonts w:hint="eastAsia" w:ascii="仿宋" w:hAnsi="仿宋" w:eastAsia="仿宋" w:cs="仿宋"/>
                <w:i w:val="0"/>
                <w:iCs w:val="0"/>
                <w:color w:val="000000"/>
                <w:sz w:val="24"/>
                <w:szCs w:val="24"/>
                <w:u w:val="none"/>
              </w:rPr>
            </w:pPr>
          </w:p>
        </w:tc>
      </w:tr>
      <w:tr w14:paraId="109AE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3"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8226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0EF10">
            <w:pPr>
              <w:pStyle w:val="2"/>
              <w:numPr>
                <w:ilvl w:val="0"/>
                <w:numId w:val="0"/>
              </w:numP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（10）搬运过程中注意物品属性，不能挤压、叠放的物品坚决不能叠放。易碎、不能倒放物品需在外包装上进行标识。</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A6226">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528CE">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1E953">
            <w:pPr>
              <w:rPr>
                <w:rFonts w:hint="eastAsia" w:ascii="仿宋" w:hAnsi="仿宋" w:eastAsia="仿宋" w:cs="仿宋"/>
                <w:i w:val="0"/>
                <w:iCs w:val="0"/>
                <w:color w:val="000000"/>
                <w:sz w:val="24"/>
                <w:szCs w:val="24"/>
                <w:u w:val="none"/>
              </w:rPr>
            </w:pPr>
          </w:p>
        </w:tc>
      </w:tr>
      <w:tr w14:paraId="566EA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4009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23A4B">
            <w:pPr>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4.安全要求</w:t>
            </w:r>
          </w:p>
          <w:p w14:paraId="218D2253">
            <w:pPr>
              <w:pStyle w:val="2"/>
              <w:numPr>
                <w:ilvl w:val="0"/>
                <w:numId w:val="0"/>
              </w:numP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（1）中标人搬运前必须提供参与本项目的团队成员的无犯罪查询记录。</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DE0E3">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5C31A">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6DCD0">
            <w:pPr>
              <w:rPr>
                <w:rFonts w:hint="eastAsia" w:ascii="仿宋" w:hAnsi="仿宋" w:eastAsia="仿宋" w:cs="仿宋"/>
                <w:i w:val="0"/>
                <w:iCs w:val="0"/>
                <w:color w:val="000000"/>
                <w:sz w:val="24"/>
                <w:szCs w:val="24"/>
                <w:u w:val="none"/>
              </w:rPr>
            </w:pPr>
          </w:p>
        </w:tc>
      </w:tr>
      <w:tr w14:paraId="20BF1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36D3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69EDF">
            <w:pPr>
              <w:pStyle w:val="2"/>
              <w:numPr>
                <w:ilvl w:val="0"/>
                <w:numId w:val="0"/>
              </w:numP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（2）中标人与招标人签署安全承诺书。</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6B589">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6CA0F">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F5B38">
            <w:pPr>
              <w:rPr>
                <w:rFonts w:hint="eastAsia" w:ascii="仿宋" w:hAnsi="仿宋" w:eastAsia="仿宋" w:cs="仿宋"/>
                <w:i w:val="0"/>
                <w:iCs w:val="0"/>
                <w:color w:val="000000"/>
                <w:sz w:val="24"/>
                <w:szCs w:val="24"/>
                <w:u w:val="none"/>
              </w:rPr>
            </w:pPr>
          </w:p>
        </w:tc>
      </w:tr>
      <w:tr w14:paraId="203B3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D8B2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C4AFE">
            <w:pPr>
              <w:pStyle w:val="2"/>
              <w:numPr>
                <w:ilvl w:val="0"/>
                <w:numId w:val="0"/>
              </w:numP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（3）搬运期间禁带一切火种。</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B6326">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742A2">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AE848">
            <w:pPr>
              <w:rPr>
                <w:rFonts w:hint="eastAsia" w:ascii="仿宋" w:hAnsi="仿宋" w:eastAsia="仿宋" w:cs="仿宋"/>
                <w:i w:val="0"/>
                <w:iCs w:val="0"/>
                <w:color w:val="000000"/>
                <w:sz w:val="24"/>
                <w:szCs w:val="24"/>
                <w:u w:val="none"/>
              </w:rPr>
            </w:pPr>
          </w:p>
        </w:tc>
      </w:tr>
      <w:tr w14:paraId="7FDE9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1"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7722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26</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A46C3">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textAlignment w:val="auto"/>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（4）参与搬运的所有工人必须有保险（社保或者商业保险）。</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EB13C">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E7C1A">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7562B">
            <w:pPr>
              <w:rPr>
                <w:rFonts w:hint="eastAsia" w:ascii="仿宋" w:hAnsi="仿宋" w:eastAsia="仿宋" w:cs="仿宋"/>
                <w:i w:val="0"/>
                <w:iCs w:val="0"/>
                <w:color w:val="000000"/>
                <w:sz w:val="24"/>
                <w:szCs w:val="24"/>
                <w:u w:val="none"/>
              </w:rPr>
            </w:pPr>
          </w:p>
        </w:tc>
      </w:tr>
      <w:tr w14:paraId="3A17B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56A0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27</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9B5E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textAlignment w:val="auto"/>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（5）中标人提供的运输车辆车况、密封性必须达标。</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87B7D">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210DC">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26F7E">
            <w:pPr>
              <w:rPr>
                <w:rFonts w:hint="eastAsia" w:ascii="仿宋" w:hAnsi="仿宋" w:eastAsia="仿宋" w:cs="仿宋"/>
                <w:i w:val="0"/>
                <w:iCs w:val="0"/>
                <w:color w:val="000000"/>
                <w:sz w:val="24"/>
                <w:szCs w:val="24"/>
                <w:u w:val="none"/>
              </w:rPr>
            </w:pPr>
          </w:p>
        </w:tc>
      </w:tr>
      <w:tr w14:paraId="14953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5"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1D15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28</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861F2">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textAlignment w:val="auto"/>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（6）投入本项目的运输车辆需购买《机动车第三者责任保险》。</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7D8A3">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BE1AF">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35A02">
            <w:pPr>
              <w:rPr>
                <w:rFonts w:hint="eastAsia" w:ascii="仿宋" w:hAnsi="仿宋" w:eastAsia="仿宋" w:cs="仿宋"/>
                <w:i w:val="0"/>
                <w:iCs w:val="0"/>
                <w:color w:val="000000"/>
                <w:sz w:val="24"/>
                <w:szCs w:val="24"/>
                <w:u w:val="none"/>
              </w:rPr>
            </w:pPr>
          </w:p>
        </w:tc>
      </w:tr>
      <w:tr w14:paraId="588A1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5"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9304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29</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B16B3">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textAlignment w:val="auto"/>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（7）中标人必须制定应急保障预防措施：对于采购方不确定因素工期缩短应急预案；搬迁过程中遇台风或暴雨天气影响应急预案；防火防盗安全应急预案；突发事件应急预案等。</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B6854">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B7871">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40A3E">
            <w:pPr>
              <w:rPr>
                <w:rFonts w:hint="eastAsia" w:ascii="仿宋" w:hAnsi="仿宋" w:eastAsia="仿宋" w:cs="仿宋"/>
                <w:i w:val="0"/>
                <w:iCs w:val="0"/>
                <w:color w:val="000000"/>
                <w:sz w:val="24"/>
                <w:szCs w:val="24"/>
                <w:u w:val="none"/>
              </w:rPr>
            </w:pPr>
          </w:p>
        </w:tc>
      </w:tr>
      <w:tr w14:paraId="0A175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6"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7F87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2DC68">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textAlignment w:val="auto"/>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（8）在医院整个搬迁服务中的安全问题均由中标人自行承担：因中标人在工作中造成消防安全事故，造成人身伤亡、财产损失，中标人必须承担全部责任。</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CE0B9">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B2738">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AC0C4">
            <w:pPr>
              <w:rPr>
                <w:rFonts w:hint="eastAsia" w:ascii="仿宋" w:hAnsi="仿宋" w:eastAsia="仿宋" w:cs="仿宋"/>
                <w:i w:val="0"/>
                <w:iCs w:val="0"/>
                <w:color w:val="000000"/>
                <w:sz w:val="24"/>
                <w:szCs w:val="24"/>
                <w:u w:val="none"/>
              </w:rPr>
            </w:pPr>
          </w:p>
        </w:tc>
      </w:tr>
      <w:tr w14:paraId="0C7FF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6"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1929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31</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61E56">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textAlignment w:val="auto"/>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5.质量要求</w:t>
            </w:r>
          </w:p>
          <w:p w14:paraId="2598282D">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textAlignment w:val="auto"/>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中标人应根据仪器/设备厂家授权方的要求进行搬运，并保证所有拆卸下来的仪器部件在搬运过程中完好无损，数量无误，不得乱扔乱放，随意搬运。</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DACFB">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E4B99">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1CF65">
            <w:pPr>
              <w:rPr>
                <w:rFonts w:hint="eastAsia" w:ascii="仿宋" w:hAnsi="仿宋" w:eastAsia="仿宋" w:cs="仿宋"/>
                <w:i w:val="0"/>
                <w:iCs w:val="0"/>
                <w:color w:val="000000"/>
                <w:sz w:val="24"/>
                <w:szCs w:val="24"/>
                <w:u w:val="none"/>
              </w:rPr>
            </w:pPr>
          </w:p>
        </w:tc>
      </w:tr>
      <w:tr w14:paraId="13582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C4B4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32</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6F4A4">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包装：选择结实、合适的包装箱，外包装要牢固。</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1C230">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D6394">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8CC79">
            <w:pPr>
              <w:rPr>
                <w:rFonts w:hint="eastAsia" w:ascii="仿宋" w:hAnsi="仿宋" w:eastAsia="仿宋" w:cs="仿宋"/>
                <w:i w:val="0"/>
                <w:iCs w:val="0"/>
                <w:color w:val="000000"/>
                <w:sz w:val="24"/>
                <w:szCs w:val="24"/>
                <w:u w:val="none"/>
              </w:rPr>
            </w:pPr>
          </w:p>
        </w:tc>
      </w:tr>
      <w:tr w14:paraId="14981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F5BA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33</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703C7">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jc w:val="both"/>
              <w:textAlignment w:val="auto"/>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标识：外包装上标识明确设备及物品名称。</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58067">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09402">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3C2CE">
            <w:pPr>
              <w:rPr>
                <w:rFonts w:hint="eastAsia" w:ascii="仿宋" w:hAnsi="仿宋" w:eastAsia="仿宋" w:cs="仿宋"/>
                <w:i w:val="0"/>
                <w:iCs w:val="0"/>
                <w:color w:val="000000"/>
                <w:sz w:val="24"/>
                <w:szCs w:val="24"/>
                <w:u w:val="none"/>
              </w:rPr>
            </w:pPr>
          </w:p>
        </w:tc>
      </w:tr>
      <w:tr w14:paraId="77651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6"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BCEE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34</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DD07E">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textAlignment w:val="auto"/>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拆装：需要拆装的，如果相关设备拆装需要相关资质的，需要由有相关设备拆装资质的人员负责拆装，并要恢复组装成原样，并负责设备在新场地的安装所需配套施工及材料，如线路、管道、水电风网络信号等的布设、改造和连接施工。安装需要满足国家现行相关规范和设备使用的相关要求，保障设备重新正常使用。</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CD094">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BBB9D">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0D898">
            <w:pPr>
              <w:rPr>
                <w:rFonts w:hint="eastAsia" w:ascii="仿宋" w:hAnsi="仿宋" w:eastAsia="仿宋" w:cs="仿宋"/>
                <w:i w:val="0"/>
                <w:iCs w:val="0"/>
                <w:color w:val="000000"/>
                <w:sz w:val="24"/>
                <w:szCs w:val="24"/>
                <w:u w:val="none"/>
              </w:rPr>
            </w:pPr>
          </w:p>
        </w:tc>
      </w:tr>
      <w:tr w14:paraId="4CF3A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4"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CC380">
            <w:pPr>
              <w:keepNext w:val="0"/>
              <w:keepLines w:val="0"/>
              <w:widowControl/>
              <w:suppressLineNumbers w:val="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35</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7D28E">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jc w:val="both"/>
              <w:textAlignment w:val="auto"/>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方向：按照设备要求不得倒置，有箭头标识。</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27048">
            <w:pPr>
              <w:jc w:val="both"/>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5760D">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BCCBC">
            <w:pPr>
              <w:rPr>
                <w:rFonts w:hint="eastAsia" w:ascii="仿宋" w:hAnsi="仿宋" w:eastAsia="仿宋" w:cs="仿宋"/>
                <w:i w:val="0"/>
                <w:iCs w:val="0"/>
                <w:color w:val="000000"/>
                <w:sz w:val="24"/>
                <w:szCs w:val="24"/>
                <w:u w:val="none"/>
              </w:rPr>
            </w:pPr>
          </w:p>
        </w:tc>
      </w:tr>
      <w:tr w14:paraId="0AB39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F2AA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36</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34D75">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textAlignment w:val="auto"/>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易碎物品：在外包装上应注明，做好防破碎保护，轻拿轻放。</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C9F70">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1C952">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3C945">
            <w:pPr>
              <w:rPr>
                <w:rFonts w:hint="eastAsia" w:ascii="仿宋" w:hAnsi="仿宋" w:eastAsia="仿宋" w:cs="仿宋"/>
                <w:i w:val="0"/>
                <w:iCs w:val="0"/>
                <w:color w:val="000000"/>
                <w:sz w:val="24"/>
                <w:szCs w:val="24"/>
                <w:u w:val="none"/>
              </w:rPr>
            </w:pPr>
          </w:p>
        </w:tc>
      </w:tr>
      <w:tr w14:paraId="08BC2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2"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EE5A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37</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DE333">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textAlignment w:val="auto"/>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防震动：运输过程要注明。</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B4E09">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E2FBA">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1E465">
            <w:pPr>
              <w:rPr>
                <w:rFonts w:hint="eastAsia" w:ascii="仿宋" w:hAnsi="仿宋" w:eastAsia="仿宋" w:cs="仿宋"/>
                <w:i w:val="0"/>
                <w:iCs w:val="0"/>
                <w:color w:val="000000"/>
                <w:sz w:val="24"/>
                <w:szCs w:val="24"/>
                <w:u w:val="none"/>
              </w:rPr>
            </w:pPr>
          </w:p>
        </w:tc>
      </w:tr>
      <w:tr w14:paraId="26D12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1BCC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38</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F945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textAlignment w:val="auto"/>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贵重设备：签署保险合同。</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9FBF5">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64C66">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70693">
            <w:pPr>
              <w:rPr>
                <w:rFonts w:hint="eastAsia" w:ascii="仿宋" w:hAnsi="仿宋" w:eastAsia="仿宋" w:cs="仿宋"/>
                <w:i w:val="0"/>
                <w:iCs w:val="0"/>
                <w:color w:val="000000"/>
                <w:sz w:val="24"/>
                <w:szCs w:val="24"/>
                <w:u w:val="none"/>
              </w:rPr>
            </w:pPr>
          </w:p>
        </w:tc>
      </w:tr>
      <w:tr w14:paraId="38278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017A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39</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8C6A3">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textAlignment w:val="auto"/>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配件：原配件要随设备一起打包运输，不得丢失。</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C875C">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CBC3E">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5C911">
            <w:pPr>
              <w:rPr>
                <w:rFonts w:hint="eastAsia" w:ascii="仿宋" w:hAnsi="仿宋" w:eastAsia="仿宋" w:cs="仿宋"/>
                <w:i w:val="0"/>
                <w:iCs w:val="0"/>
                <w:color w:val="000000"/>
                <w:sz w:val="24"/>
                <w:szCs w:val="24"/>
                <w:u w:val="none"/>
              </w:rPr>
            </w:pPr>
          </w:p>
        </w:tc>
      </w:tr>
      <w:tr w14:paraId="401A1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0A0B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40</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574B6">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textAlignment w:val="auto"/>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防水: 搬运过程不得淋雨水。</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956AC">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7AA7B">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D7515">
            <w:pPr>
              <w:rPr>
                <w:rFonts w:hint="eastAsia" w:ascii="仿宋" w:hAnsi="仿宋" w:eastAsia="仿宋" w:cs="仿宋"/>
                <w:i w:val="0"/>
                <w:iCs w:val="0"/>
                <w:color w:val="000000"/>
                <w:sz w:val="24"/>
                <w:szCs w:val="24"/>
                <w:u w:val="none"/>
              </w:rPr>
            </w:pPr>
          </w:p>
        </w:tc>
      </w:tr>
      <w:tr w14:paraId="45191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812C1">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41</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DC345">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textAlignment w:val="auto"/>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数量：保证如数搬运，不得丢失。</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83E44">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54C3A">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EFFFD">
            <w:pPr>
              <w:rPr>
                <w:rFonts w:hint="eastAsia" w:ascii="仿宋" w:hAnsi="仿宋" w:eastAsia="仿宋" w:cs="仿宋"/>
                <w:i w:val="0"/>
                <w:iCs w:val="0"/>
                <w:color w:val="000000"/>
                <w:sz w:val="24"/>
                <w:szCs w:val="24"/>
                <w:u w:val="none"/>
              </w:rPr>
            </w:pPr>
          </w:p>
        </w:tc>
      </w:tr>
      <w:tr w14:paraId="1053E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27F65">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42</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3A562">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textAlignment w:val="auto"/>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color w:val="000000"/>
                <w:kern w:val="0"/>
                <w:sz w:val="24"/>
                <w:szCs w:val="24"/>
                <w:lang w:val="en-US" w:eastAsia="zh-CN" w:bidi="ar"/>
              </w:rPr>
              <w:t>完好：不得损坏,准确放置到位。</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66FA9">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52D26">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5697A">
            <w:pPr>
              <w:rPr>
                <w:rFonts w:hint="eastAsia" w:ascii="仿宋" w:hAnsi="仿宋" w:eastAsia="仿宋" w:cs="仿宋"/>
                <w:i w:val="0"/>
                <w:iCs w:val="0"/>
                <w:color w:val="000000"/>
                <w:sz w:val="24"/>
                <w:szCs w:val="24"/>
                <w:u w:val="none"/>
              </w:rPr>
            </w:pPr>
          </w:p>
        </w:tc>
      </w:tr>
      <w:tr w14:paraId="1ED66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18246">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43</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67E3E">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textAlignment w:val="auto"/>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6.验收要求</w:t>
            </w:r>
          </w:p>
          <w:p w14:paraId="7E929C83">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textAlignment w:val="auto"/>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color w:val="000000"/>
                <w:kern w:val="0"/>
                <w:sz w:val="24"/>
                <w:szCs w:val="24"/>
                <w:lang w:val="en-US" w:eastAsia="zh-CN" w:bidi="ar"/>
              </w:rPr>
              <w:t>（1）当设备搬迁到达指定地点后，招标人、中标人和目前对设备进行维保的第三方公司共同对设备进行检验，并对设备技术参数进行逐项检查。验收以招标人的验收为准，应满足招标人的搬迁前设备状态。</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92321">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9655C">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DA322">
            <w:pPr>
              <w:rPr>
                <w:rFonts w:hint="eastAsia" w:ascii="仿宋" w:hAnsi="仿宋" w:eastAsia="仿宋" w:cs="仿宋"/>
                <w:i w:val="0"/>
                <w:iCs w:val="0"/>
                <w:color w:val="000000"/>
                <w:sz w:val="24"/>
                <w:szCs w:val="24"/>
                <w:u w:val="none"/>
              </w:rPr>
            </w:pPr>
          </w:p>
        </w:tc>
      </w:tr>
      <w:tr w14:paraId="114FD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61BD1">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44</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7BBE3">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textAlignment w:val="auto"/>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color w:val="000000"/>
                <w:kern w:val="0"/>
                <w:sz w:val="24"/>
                <w:szCs w:val="24"/>
                <w:lang w:val="en-US" w:eastAsia="zh-CN" w:bidi="ar"/>
              </w:rPr>
              <w:t>（2）验收由招标人、中标人及相关人员依照国家有关标准、合同及有关附件要求进行。</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A32EE">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CAA92">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60E9A">
            <w:pPr>
              <w:rPr>
                <w:rFonts w:hint="eastAsia" w:ascii="仿宋" w:hAnsi="仿宋" w:eastAsia="仿宋" w:cs="仿宋"/>
                <w:i w:val="0"/>
                <w:iCs w:val="0"/>
                <w:color w:val="000000"/>
                <w:sz w:val="24"/>
                <w:szCs w:val="24"/>
                <w:u w:val="none"/>
              </w:rPr>
            </w:pPr>
          </w:p>
        </w:tc>
      </w:tr>
      <w:tr w14:paraId="15715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E3DFF">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45</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178AE">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textAlignment w:val="auto"/>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color w:val="000000"/>
                <w:kern w:val="0"/>
                <w:sz w:val="24"/>
                <w:szCs w:val="24"/>
                <w:lang w:val="en-US" w:eastAsia="zh-CN" w:bidi="ar"/>
              </w:rPr>
              <w:t>（3）设备安装调试完毕并正常运行满五个工作日后，由招标人与中标人共同在验收报告上签字确认，完成验收。</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FF788">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6E737">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CB2B7">
            <w:pPr>
              <w:rPr>
                <w:rFonts w:hint="eastAsia" w:ascii="仿宋" w:hAnsi="仿宋" w:eastAsia="仿宋" w:cs="仿宋"/>
                <w:i w:val="0"/>
                <w:iCs w:val="0"/>
                <w:color w:val="000000"/>
                <w:sz w:val="24"/>
                <w:szCs w:val="24"/>
                <w:u w:val="none"/>
              </w:rPr>
            </w:pPr>
          </w:p>
        </w:tc>
      </w:tr>
      <w:tr w14:paraId="62435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0BE1A">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46</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6B566">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textAlignment w:val="auto"/>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color w:val="000000"/>
                <w:kern w:val="0"/>
                <w:sz w:val="24"/>
                <w:szCs w:val="24"/>
                <w:lang w:val="en-US" w:eastAsia="zh-CN" w:bidi="ar"/>
              </w:rPr>
              <w:t>（4）中标人应于验收后向招标人提供文档的归纳、整理、提交，并提供完整的技术文件：包括验收报告、技术文档。</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69504">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C0F32">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140B3">
            <w:pPr>
              <w:rPr>
                <w:rFonts w:hint="eastAsia" w:ascii="仿宋" w:hAnsi="仿宋" w:eastAsia="仿宋" w:cs="仿宋"/>
                <w:i w:val="0"/>
                <w:iCs w:val="0"/>
                <w:color w:val="000000"/>
                <w:sz w:val="24"/>
                <w:szCs w:val="24"/>
                <w:u w:val="none"/>
              </w:rPr>
            </w:pPr>
          </w:p>
        </w:tc>
      </w:tr>
      <w:tr w14:paraId="380C4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5DE31">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47</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498EF">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六、商务条款：</w:t>
            </w:r>
          </w:p>
          <w:p w14:paraId="1E648DB7">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sz w:val="24"/>
                <w:szCs w:val="24"/>
                <w:lang w:val="en-US" w:eastAsia="zh-CN"/>
              </w:rPr>
              <w:t>（一）服务地点：广州中医药大学第一附属医院中山医院指定科室。</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43557">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BD75B">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7B62E">
            <w:pPr>
              <w:rPr>
                <w:rFonts w:hint="eastAsia" w:ascii="仿宋" w:hAnsi="仿宋" w:eastAsia="仿宋" w:cs="仿宋"/>
                <w:i w:val="0"/>
                <w:iCs w:val="0"/>
                <w:color w:val="000000"/>
                <w:sz w:val="24"/>
                <w:szCs w:val="24"/>
                <w:u w:val="none"/>
              </w:rPr>
            </w:pPr>
          </w:p>
        </w:tc>
      </w:tr>
      <w:tr w14:paraId="20812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1DE72">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48</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4B183">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（二）付款方式：</w:t>
            </w:r>
          </w:p>
          <w:p w14:paraId="4D51482E">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1.本项目为一次性无息付款。设备搬迁 / 安装完成并经验收合格后，中标人凭完整结算资料申请付款，采购人在收到合规资料后 60个工作日内完成全额付款。</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124D0">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C6C60">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6F351">
            <w:pPr>
              <w:rPr>
                <w:rFonts w:hint="eastAsia" w:ascii="仿宋" w:hAnsi="仿宋" w:eastAsia="仿宋" w:cs="仿宋"/>
                <w:i w:val="0"/>
                <w:iCs w:val="0"/>
                <w:color w:val="000000"/>
                <w:sz w:val="24"/>
                <w:szCs w:val="24"/>
                <w:u w:val="none"/>
              </w:rPr>
            </w:pPr>
          </w:p>
        </w:tc>
      </w:tr>
      <w:tr w14:paraId="13DC8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E8B7F">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49</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BA17E">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2.中标人申请付款时须提交以下文件：</w:t>
            </w:r>
          </w:p>
          <w:p w14:paraId="45164B5F">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（1）验收报告（招标人提供模板，须经中标人、招标人使用科室及设备科书面确认）；</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DF9A8">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63D6E">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BF111">
            <w:pPr>
              <w:rPr>
                <w:rFonts w:hint="eastAsia" w:ascii="仿宋" w:hAnsi="仿宋" w:eastAsia="仿宋" w:cs="仿宋"/>
                <w:i w:val="0"/>
                <w:iCs w:val="0"/>
                <w:color w:val="000000"/>
                <w:sz w:val="24"/>
                <w:szCs w:val="24"/>
                <w:u w:val="none"/>
              </w:rPr>
            </w:pPr>
          </w:p>
        </w:tc>
      </w:tr>
      <w:tr w14:paraId="78FB0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02CEE">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50</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F4058">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（2）中标人开具的等额、合规增值税专用发票/普通发票；</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047F3">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F5867">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B549E">
            <w:pPr>
              <w:rPr>
                <w:rFonts w:hint="eastAsia" w:ascii="仿宋" w:hAnsi="仿宋" w:eastAsia="仿宋" w:cs="仿宋"/>
                <w:i w:val="0"/>
                <w:iCs w:val="0"/>
                <w:color w:val="000000"/>
                <w:sz w:val="24"/>
                <w:szCs w:val="24"/>
                <w:u w:val="none"/>
              </w:rPr>
            </w:pPr>
          </w:p>
        </w:tc>
      </w:tr>
      <w:tr w14:paraId="606EB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4B26B">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51</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9E2F6">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（3）合同原件。</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43F02">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29DF2">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F8B7F">
            <w:pPr>
              <w:rPr>
                <w:rFonts w:hint="eastAsia" w:ascii="仿宋" w:hAnsi="仿宋" w:eastAsia="仿宋" w:cs="仿宋"/>
                <w:i w:val="0"/>
                <w:iCs w:val="0"/>
                <w:color w:val="000000"/>
                <w:sz w:val="24"/>
                <w:szCs w:val="24"/>
                <w:u w:val="none"/>
              </w:rPr>
            </w:pPr>
          </w:p>
        </w:tc>
      </w:tr>
      <w:tr w14:paraId="38456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A2FFA">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52</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CFE3D">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sz w:val="24"/>
                <w:szCs w:val="24"/>
                <w:lang w:val="en-US" w:eastAsia="zh-CN"/>
              </w:rPr>
              <w:t>3.合同模板：模板详见附件1。</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C8AD2">
            <w:pPr>
              <w:rPr>
                <w:rFonts w:hint="eastAsia" w:ascii="仿宋" w:hAnsi="仿宋" w:eastAsia="仿宋" w:cs="仿宋"/>
                <w:i w:val="0"/>
                <w:iCs w:val="0"/>
                <w:color w:val="000000"/>
                <w:kern w:val="2"/>
                <w:sz w:val="24"/>
                <w:szCs w:val="24"/>
                <w:u w:val="none"/>
                <w:lang w:val="en-US" w:eastAsia="zh-CN" w:bidi="ar-SA"/>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7F0B4">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6AD80">
            <w:pPr>
              <w:rPr>
                <w:rFonts w:hint="eastAsia" w:ascii="仿宋" w:hAnsi="仿宋" w:eastAsia="仿宋" w:cs="仿宋"/>
                <w:i w:val="0"/>
                <w:iCs w:val="0"/>
                <w:color w:val="000000"/>
                <w:sz w:val="24"/>
                <w:szCs w:val="24"/>
                <w:u w:val="none"/>
              </w:rPr>
            </w:pPr>
          </w:p>
        </w:tc>
      </w:tr>
    </w:tbl>
    <w:p w14:paraId="5AB05B25">
      <w:pPr>
        <w:jc w:val="left"/>
        <w:rPr>
          <w:rFonts w:hint="eastAsia"/>
          <w:lang w:val="en-US" w:eastAsia="zh-CN"/>
        </w:rPr>
      </w:pPr>
    </w:p>
    <w:sectPr>
      <w:pgSz w:w="11906" w:h="16838"/>
      <w:pgMar w:top="1304" w:right="1701" w:bottom="1417"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41A112D3-49A1-4BA1-A76E-E73104907B6E}"/>
  </w:font>
  <w:font w:name="仿宋">
    <w:panose1 w:val="02010609060101010101"/>
    <w:charset w:val="86"/>
    <w:family w:val="auto"/>
    <w:pitch w:val="default"/>
    <w:sig w:usb0="800002BF" w:usb1="38CF7CFA" w:usb2="00000016" w:usb3="00000000" w:csb0="00040001" w:csb1="00000000"/>
    <w:embedRegular r:id="rId2" w:fontKey="{7EBF199A-0E2F-4A96-8584-439E124B4B6B}"/>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6C79B5"/>
    <w:multiLevelType w:val="singleLevel"/>
    <w:tmpl w:val="DD6C79B5"/>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AF29B3"/>
    <w:rsid w:val="00CE39AC"/>
    <w:rsid w:val="060F4A2A"/>
    <w:rsid w:val="0BAF4AF4"/>
    <w:rsid w:val="0BB61EFC"/>
    <w:rsid w:val="0C340323"/>
    <w:rsid w:val="0C45115C"/>
    <w:rsid w:val="10707C1F"/>
    <w:rsid w:val="123A5FCC"/>
    <w:rsid w:val="135805DC"/>
    <w:rsid w:val="14381B4D"/>
    <w:rsid w:val="19DB2D47"/>
    <w:rsid w:val="1C2504AF"/>
    <w:rsid w:val="1D7B6EEE"/>
    <w:rsid w:val="20362A4E"/>
    <w:rsid w:val="237B74B4"/>
    <w:rsid w:val="26244D31"/>
    <w:rsid w:val="2EAF29B3"/>
    <w:rsid w:val="30E02ABF"/>
    <w:rsid w:val="30E3277E"/>
    <w:rsid w:val="36911F5A"/>
    <w:rsid w:val="37284B97"/>
    <w:rsid w:val="38EA2F82"/>
    <w:rsid w:val="3ED3564C"/>
    <w:rsid w:val="429C3D0B"/>
    <w:rsid w:val="49894853"/>
    <w:rsid w:val="4A284DF8"/>
    <w:rsid w:val="4D2F4CAD"/>
    <w:rsid w:val="536908EA"/>
    <w:rsid w:val="56EF021A"/>
    <w:rsid w:val="59BB53C5"/>
    <w:rsid w:val="5AD155DD"/>
    <w:rsid w:val="5D086C55"/>
    <w:rsid w:val="5FB7648B"/>
    <w:rsid w:val="605049EC"/>
    <w:rsid w:val="619A0388"/>
    <w:rsid w:val="64C24D0B"/>
    <w:rsid w:val="65B86EE6"/>
    <w:rsid w:val="68C54F3D"/>
    <w:rsid w:val="68CA01FA"/>
    <w:rsid w:val="6A8C41E4"/>
    <w:rsid w:val="6BB67B6C"/>
    <w:rsid w:val="6C1E561F"/>
    <w:rsid w:val="6F2C1460"/>
    <w:rsid w:val="714659F2"/>
    <w:rsid w:val="749E165C"/>
    <w:rsid w:val="74EE1500"/>
    <w:rsid w:val="771B6DB7"/>
    <w:rsid w:val="777D24AB"/>
    <w:rsid w:val="78B83176"/>
    <w:rsid w:val="7A4879B1"/>
    <w:rsid w:val="7A996FD7"/>
    <w:rsid w:val="7DCA3C2A"/>
    <w:rsid w:val="7E1D2267"/>
    <w:rsid w:val="7E214F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w:basedOn w:val="1"/>
    <w:link w:val="17"/>
    <w:qFormat/>
    <w:uiPriority w:val="0"/>
    <w:pPr>
      <w:widowControl w:val="0"/>
      <w:jc w:val="both"/>
    </w:pPr>
    <w:rPr>
      <w:kern w:val="2"/>
      <w:sz w:val="28"/>
    </w:rPr>
  </w:style>
  <w:style w:type="paragraph" w:styleId="6">
    <w:name w:val="annotation text"/>
    <w:basedOn w:val="1"/>
    <w:qFormat/>
    <w:uiPriority w:val="0"/>
    <w:pPr>
      <w:jc w:val="left"/>
    </w:pPr>
  </w:style>
  <w:style w:type="paragraph" w:styleId="7">
    <w:name w:val="Body Text Indent"/>
    <w:basedOn w:val="1"/>
    <w:qFormat/>
    <w:uiPriority w:val="0"/>
    <w:pPr>
      <w:ind w:firstLine="538" w:firstLineChars="192"/>
    </w:pPr>
    <w:rPr>
      <w:color w:val="000000"/>
      <w:kern w:val="0"/>
      <w:sz w:val="28"/>
      <w:szCs w:val="44"/>
    </w:rPr>
  </w:style>
  <w:style w:type="paragraph" w:styleId="8">
    <w:name w:val="toc 5"/>
    <w:basedOn w:val="1"/>
    <w:next w:val="1"/>
    <w:qFormat/>
    <w:uiPriority w:val="39"/>
    <w:pPr>
      <w:ind w:left="1680"/>
    </w:p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4">
    <w:name w:val="Strong"/>
    <w:basedOn w:val="13"/>
    <w:qFormat/>
    <w:uiPriority w:val="0"/>
    <w:rPr>
      <w:b/>
    </w:rPr>
  </w:style>
  <w:style w:type="character" w:styleId="15">
    <w:name w:val="Hyperlink"/>
    <w:basedOn w:val="13"/>
    <w:qFormat/>
    <w:uiPriority w:val="0"/>
    <w:rPr>
      <w:color w:val="0000FF"/>
      <w:u w:val="single"/>
    </w:rPr>
  </w:style>
  <w:style w:type="character" w:styleId="16">
    <w:name w:val="HTML Code"/>
    <w:basedOn w:val="13"/>
    <w:qFormat/>
    <w:uiPriority w:val="0"/>
    <w:rPr>
      <w:rFonts w:ascii="Courier New" w:hAnsi="Courier New"/>
      <w:sz w:val="20"/>
    </w:rPr>
  </w:style>
  <w:style w:type="character" w:customStyle="1" w:styleId="17">
    <w:name w:val="正文文本 Char"/>
    <w:link w:val="2"/>
    <w:qFormat/>
    <w:uiPriority w:val="0"/>
    <w:rPr>
      <w:kern w:val="2"/>
      <w:sz w:val="28"/>
    </w:rPr>
  </w:style>
  <w:style w:type="paragraph" w:customStyle="1" w:styleId="18">
    <w:name w:val="_Style 1"/>
    <w:basedOn w:val="1"/>
    <w:qFormat/>
    <w:uiPriority w:val="0"/>
    <w:pPr>
      <w:ind w:firstLine="420" w:firstLineChars="200"/>
    </w:pPr>
    <w:rPr>
      <w:rFonts w:ascii="Calibri" w:hAnsi="Calibri" w:eastAsia="宋体"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3af45416-61b3-4abc-85bf-da539dd39886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79B0D3E5</paraID>
      <start>35</start>
      <end>37</end>
      <status>modified</status>
      <modifiedWord>其他</modifiedWord>
      <trackRevisions>false</trackRevisions>
    </reviewItem>
    <reviewItem>
      <errorID>aa37daec-fadc-4c5d-99f2-1b656f35aa14</errorID>
      <errorWord>其它</errorWord>
      <group>L1_Word</group>
      <groupName>字词问题</groupName>
      <ability>L2_Alias</ability>
      <abilityName>也作/曾用词</abilityName>
      <candidateList>
        <item>其他</item>
      </candidateList>
      <explain>词汇[其它]为不规范表述或旧称，其规范书面表述为[其他]。</explain>
      <paraID>4F4A0755</paraID>
      <start>10</start>
      <end>12</end>
      <status>modified</status>
      <modifiedWord>其他</modifiedWord>
      <trackRevisions>false</trackRevisions>
    </reviewItem>
    <reviewItem>
      <errorID>6d64607c-67b0-4d92-861b-3b3b407673cd</errorID>
      <errorWord>【2026】1号</errorWord>
      <group>L1_Knowledge</group>
      <groupName>知识性问题</groupName>
      <ability>L2_Knowledge</ability>
      <abilityName>其他知识</abilityName>
      <candidateList>
        <item>〔2026〕1号</item>
      </candidateList>
      <explain>发文字号格式错误。</explain>
      <paraID>5FE283AE</paraID>
      <start>37</start>
      <end>45</end>
      <status>unmodified</status>
      <modifiedWord/>
      <trackRevisions>false</trackRevisions>
    </reviewItem>
    <reviewItem>
      <errorID>c5458519-3116-4720-93f2-c8c4efa2573b</errorID>
      <errorWord>、也</errorWord>
      <group>L1_Punc</group>
      <groupName>标点问题</groupName>
      <ability>L2_Punc</ability>
      <abilityName>标点符号检查</abilityName>
      <candidateList>
        <item>，也</item>
      </candidateList>
      <explain>连接词前后不宜使用顿号，建议使用逗号。</explain>
      <paraID>24E544FD</paraID>
      <start>19</start>
      <end>21</end>
      <status>modified</status>
      <modifiedWord>，也</modifiedWord>
      <trackRevisions>false</trackRevisions>
    </reviewItem>
    <reviewItem>
      <errorID>c48d15ba-1aa5-43ad-bbcd-2062d572d174</errorID>
      <errorWord>......</errorWord>
      <group>L1_Punc</group>
      <groupName>标点问题</groupName>
      <ability>L2_Punc</ability>
      <abilityName>标点符号检查</abilityName>
      <candidateList>
        <item>……</item>
      </candidateList>
      <explain/>
      <paraID>1EF7B85B</paraID>
      <start>14</start>
      <end>16</end>
      <status>modified</status>
      <modifiedWord>……</modifiedWord>
      <trackRevisions>false</trackRevisions>
    </reviewItem>
    <reviewItem>
      <errorID>fe229ba9-d849-4dc7-a772-a83c33dfd23a</errorID>
      <errorWord>(</errorWord>
      <group>L1_Format</group>
      <groupName>格式问题</groupName>
      <ability>L2_HalfPunc</ability>
      <abilityName>全半角检查</abilityName>
      <candidateList>
        <item>（</item>
      </candidateList>
      <explain>文本全半角错误。</explain>
      <paraID>1B56799D</paraID>
      <start>66</start>
      <end>67</end>
      <status>modified</status>
      <modifiedWord>（</modifiedWord>
      <trackRevisions>false</trackRevisions>
    </reviewItem>
  </reviewItems>
  <config/>
</contractReview>
</file>

<file path=customXml/itemProps1.xml><?xml version="1.0" encoding="utf-8"?>
<ds:datastoreItem xmlns:ds="http://schemas.openxmlformats.org/officeDocument/2006/customXml" ds:itemID="{a56c8c0e-3d9e-4011-8e80-acfcca78d51d}">
  <ds:schemaRefs/>
</ds:datastoreItem>
</file>

<file path=docProps/app.xml><?xml version="1.0" encoding="utf-8"?>
<Properties xmlns="http://schemas.openxmlformats.org/officeDocument/2006/extended-properties" xmlns:vt="http://schemas.openxmlformats.org/officeDocument/2006/docPropsVTypes">
  <Template>Normal.dotm</Template>
  <Pages>8</Pages>
  <Words>1101</Words>
  <Characters>1142</Characters>
  <Lines>0</Lines>
  <Paragraphs>0</Paragraphs>
  <TotalTime>1</TotalTime>
  <ScaleCrop>false</ScaleCrop>
  <LinksUpToDate>false</LinksUpToDate>
  <CharactersWithSpaces>1255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2025-11-18T08:20:00Z</dcterms:created>
  <dc:creator>客舟听雨</dc:creator>
  <cp:lastModifiedBy>陈文斌</cp:lastModifiedBy>
  <cp:lastPrinted>2026-05-07T09:50:49Z</cp:lastPrinted>
  <dcterms:modified xsi:type="dcterms:W3CDTF">2026-05-07T09:50:54Z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8563886062394D799924DB7F6F18F38D_11</vt:lpwstr>
  </property>
  <property fmtid="{D5CDD505-2E9C-101B-9397-08002B2CF9AE}" pid="4" name="KSOTemplateDocerSaveRecord">
    <vt:lpwstr>eyJoZGlkIjoiYjcwMjU1YWY5NTVkZmMzZDQ5ODc4NjRiMWUyNDExZTMiLCJ1c2VySWQiOiI0Njc1NzA4ODgifQ==</vt:lpwstr>
  </property>
</Properties>
</file>