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90BB4">
      <w:pPr>
        <w:pStyle w:val="3"/>
        <w:jc w:val="center"/>
        <w:rPr>
          <w:rFonts w:ascii="黑体" w:hAnsi="黑体" w:cs="楷体"/>
          <w:b w:val="0"/>
          <w:sz w:val="28"/>
          <w:szCs w:val="28"/>
        </w:rPr>
      </w:pPr>
      <w:r>
        <w:rPr>
          <w:rFonts w:hint="eastAsia" w:ascii="黑体" w:hAnsi="黑体" w:cs="楷体"/>
          <w:b w:val="0"/>
          <w:sz w:val="28"/>
          <w:szCs w:val="28"/>
        </w:rPr>
        <w:t>广州中医药大学第一附属医院</w:t>
      </w:r>
      <w:r>
        <w:rPr>
          <w:rFonts w:hint="eastAsia" w:ascii="黑体" w:hAnsi="黑体" w:cs="楷体"/>
          <w:b w:val="0"/>
          <w:sz w:val="28"/>
          <w:szCs w:val="28"/>
          <w:lang w:eastAsia="zh-CN"/>
        </w:rPr>
        <w:t>中山医院</w:t>
      </w:r>
      <w:r>
        <w:rPr>
          <w:rFonts w:hint="eastAsia" w:ascii="黑体" w:hAnsi="黑体" w:cs="楷体"/>
          <w:b w:val="0"/>
          <w:sz w:val="28"/>
          <w:szCs w:val="28"/>
        </w:rPr>
        <w:t>设备搬迁服务采购合同（部门采购）</w:t>
      </w:r>
    </w:p>
    <w:p w14:paraId="31ABDF89">
      <w:pPr>
        <w:rPr>
          <w:rFonts w:ascii="仿宋_GB2312" w:eastAsia="仿宋_GB2312"/>
          <w:sz w:val="28"/>
          <w:szCs w:val="28"/>
        </w:rPr>
      </w:pPr>
    </w:p>
    <w:p w14:paraId="4BADDEEF">
      <w:pPr>
        <w:rPr>
          <w:rFonts w:ascii="仿宋_GB2312" w:hAnsi="仿宋_GB2312" w:eastAsia="仿宋_GB2312" w:cs="仿宋_GB2312"/>
          <w:sz w:val="28"/>
          <w:szCs w:val="28"/>
        </w:rPr>
      </w:pPr>
      <w:r>
        <w:rPr>
          <w:rFonts w:hint="eastAsia" w:ascii="仿宋_GB2312" w:hAnsi="仿宋_GB2312" w:eastAsia="仿宋_GB2312" w:cs="仿宋_GB2312"/>
          <w:sz w:val="28"/>
          <w:szCs w:val="28"/>
        </w:rPr>
        <w:t>甲方：广州中医药大学第一附属医院</w:t>
      </w:r>
      <w:r>
        <w:rPr>
          <w:rFonts w:ascii="仿宋_GB2312" w:hAnsi="仿宋_GB2312" w:eastAsia="仿宋_GB2312" w:cs="仿宋_GB2312"/>
          <w:sz w:val="28"/>
          <w:szCs w:val="28"/>
        </w:rPr>
        <w:t>中山医院</w:t>
      </w:r>
    </w:p>
    <w:p w14:paraId="4DB94727">
      <w:pPr>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w:t>
      </w:r>
      <w:r>
        <w:rPr>
          <w:rFonts w:ascii="仿宋_GB2312" w:hAnsi="仿宋_GB2312" w:eastAsia="仿宋_GB2312" w:cs="仿宋_GB2312"/>
          <w:sz w:val="28"/>
          <w:szCs w:val="28"/>
        </w:rPr>
        <w:t>刘求红</w:t>
      </w:r>
    </w:p>
    <w:p w14:paraId="574B9CF8">
      <w:pPr>
        <w:rPr>
          <w:rFonts w:ascii="仿宋_GB2312" w:hAnsi="仿宋_GB2312" w:eastAsia="仿宋_GB2312" w:cs="仿宋_GB2312"/>
          <w:sz w:val="28"/>
          <w:szCs w:val="28"/>
        </w:rPr>
      </w:pPr>
      <w:r>
        <w:rPr>
          <w:rFonts w:hint="eastAsia" w:ascii="仿宋_GB2312" w:hAnsi="仿宋_GB2312" w:eastAsia="仿宋_GB2312" w:cs="仿宋_GB2312"/>
          <w:sz w:val="28"/>
          <w:szCs w:val="28"/>
        </w:rPr>
        <w:t>联系人：</w:t>
      </w:r>
      <w:r>
        <w:rPr>
          <w:rFonts w:ascii="仿宋_GB2312" w:hAnsi="仿宋_GB2312" w:eastAsia="仿宋_GB2312" w:cs="仿宋_GB2312"/>
          <w:sz w:val="28"/>
          <w:szCs w:val="28"/>
        </w:rPr>
        <w:t>郑工</w:t>
      </w:r>
    </w:p>
    <w:p w14:paraId="483DB34C">
      <w:pPr>
        <w:rPr>
          <w:rFonts w:ascii="仿宋_GB2312" w:hAnsi="仿宋_GB2312" w:eastAsia="仿宋_GB2312" w:cs="仿宋_GB2312"/>
          <w:sz w:val="28"/>
          <w:szCs w:val="28"/>
        </w:rPr>
      </w:pPr>
      <w:r>
        <w:rPr>
          <w:rFonts w:hint="eastAsia" w:ascii="仿宋_GB2312" w:hAnsi="仿宋_GB2312" w:eastAsia="仿宋_GB2312" w:cs="仿宋_GB2312"/>
          <w:sz w:val="28"/>
          <w:szCs w:val="28"/>
        </w:rPr>
        <w:t>联系电话：</w:t>
      </w:r>
      <w:r>
        <w:rPr>
          <w:rFonts w:ascii="仿宋_GB2312" w:hAnsi="仿宋_GB2312" w:eastAsia="仿宋_GB2312" w:cs="仿宋_GB2312"/>
          <w:sz w:val="28"/>
          <w:szCs w:val="28"/>
        </w:rPr>
        <w:t>0760-23809975</w:t>
      </w:r>
    </w:p>
    <w:p w14:paraId="4DABFD83">
      <w:pPr>
        <w:rPr>
          <w:rFonts w:ascii="仿宋_GB2312" w:hAnsi="仿宋_GB2312" w:eastAsia="仿宋_GB2312" w:cs="仿宋_GB2312"/>
          <w:sz w:val="28"/>
          <w:szCs w:val="28"/>
        </w:rPr>
      </w:pPr>
      <w:r>
        <w:rPr>
          <w:rFonts w:hint="eastAsia" w:ascii="仿宋_GB2312" w:hAnsi="仿宋_GB2312" w:eastAsia="仿宋_GB2312" w:cs="仿宋_GB2312"/>
          <w:sz w:val="28"/>
          <w:szCs w:val="28"/>
        </w:rPr>
        <w:t>地址：</w:t>
      </w:r>
      <w:r>
        <w:rPr>
          <w:rFonts w:ascii="仿宋_GB2312" w:hAnsi="仿宋_GB2312" w:eastAsia="仿宋_GB2312" w:cs="仿宋_GB2312"/>
          <w:sz w:val="28"/>
          <w:szCs w:val="28"/>
        </w:rPr>
        <w:t>三乡镇康乐路10号</w:t>
      </w:r>
    </w:p>
    <w:p w14:paraId="4F4808B9">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乙方：</w:t>
      </w:r>
    </w:p>
    <w:p w14:paraId="729D28AA">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w:t>
      </w:r>
    </w:p>
    <w:p w14:paraId="6467ECB9">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联系人：</w:t>
      </w:r>
    </w:p>
    <w:p w14:paraId="71CF1F69">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联系电话：</w:t>
      </w:r>
    </w:p>
    <w:p w14:paraId="4E262FE2">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地址：</w:t>
      </w:r>
    </w:p>
    <w:p w14:paraId="24D1F6E9">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根据《中华人民共和国民法典》及其他有关法律法规，遵循平等、自愿、公平和诚实信用的原则，甲乙双方就</w:t>
      </w:r>
      <w:r>
        <w:rPr>
          <w:rFonts w:hint="eastAsia" w:ascii="仿宋_GB2312" w:hAnsi="仿宋_GB2312" w:eastAsia="仿宋_GB2312" w:cs="仿宋_GB2312"/>
          <w:color w:val="000000" w:themeColor="text1"/>
          <w:sz w:val="28"/>
          <w:szCs w:val="28"/>
          <w14:textFill>
            <w14:solidFill>
              <w14:schemeClr w14:val="tx1"/>
            </w14:solidFill>
          </w14:textFill>
        </w:rPr>
        <w:t>广州中医药大学第一附属医院</w:t>
      </w:r>
      <w:r>
        <w:rPr>
          <w:rFonts w:hint="eastAsia" w:ascii="仿宋_GB2312" w:hAnsi="仿宋_GB2312" w:eastAsia="仿宋_GB2312" w:cs="仿宋_GB2312"/>
          <w:color w:val="000000" w:themeColor="text1"/>
          <w:sz w:val="28"/>
          <w:szCs w:val="28"/>
          <w:lang w:eastAsia="zh-CN"/>
          <w14:textFill>
            <w14:solidFill>
              <w14:schemeClr w14:val="tx1"/>
            </w14:solidFill>
          </w14:textFill>
        </w:rPr>
        <w:t>中山医院</w:t>
      </w:r>
      <w:r>
        <w:rPr>
          <w:rFonts w:hint="eastAsia" w:ascii="仿宋_GB2312" w:hAnsi="仿宋_GB2312" w:eastAsia="仿宋_GB2312" w:cs="仿宋_GB2312"/>
          <w:color w:val="000000" w:themeColor="text1"/>
          <w:sz w:val="28"/>
          <w:szCs w:val="28"/>
          <w14:textFill>
            <w14:solidFill>
              <w14:schemeClr w14:val="tx1"/>
            </w14:solidFill>
          </w14:textFill>
        </w:rPr>
        <w:t>采购</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服务</w:t>
      </w:r>
      <w:r>
        <w:rPr>
          <w:rFonts w:hint="eastAsia" w:ascii="仿宋_GB2312" w:hAnsi="仿宋_GB2312" w:eastAsia="仿宋_GB2312" w:cs="仿宋_GB2312"/>
          <w:sz w:val="28"/>
          <w:szCs w:val="28"/>
        </w:rPr>
        <w:t>协商一致，订立本合同。</w:t>
      </w:r>
    </w:p>
    <w:p w14:paraId="60C48E8C">
      <w:pPr>
        <w:widowControl/>
        <w:jc w:val="left"/>
        <w:rPr>
          <w:rFonts w:ascii="仿宋_GB2312" w:hAnsi="仿宋_GB2312" w:eastAsia="仿宋_GB2312" w:cs="仿宋_GB2312"/>
          <w:b/>
          <w:bCs/>
          <w:sz w:val="24"/>
          <w:szCs w:val="24"/>
        </w:rPr>
      </w:pPr>
      <w:r>
        <w:rPr>
          <w:rFonts w:ascii="仿宋_GB2312" w:hAnsi="仿宋_GB2312" w:eastAsia="仿宋_GB2312" w:cs="仿宋_GB2312"/>
          <w:sz w:val="28"/>
          <w:szCs w:val="28"/>
        </w:rPr>
        <w:br w:type="page"/>
      </w:r>
      <w:r>
        <w:rPr>
          <w:rFonts w:hint="eastAsia" w:ascii="仿宋_GB2312" w:hAnsi="仿宋_GB2312" w:eastAsia="仿宋_GB2312" w:cs="仿宋_GB2312"/>
          <w:b/>
          <w:bCs/>
          <w:sz w:val="24"/>
          <w:szCs w:val="24"/>
        </w:rPr>
        <w:t>一、合同标的</w:t>
      </w:r>
    </w:p>
    <w:tbl>
      <w:tblPr>
        <w:tblStyle w:val="10"/>
        <w:tblpPr w:leftFromText="180" w:rightFromText="180" w:vertAnchor="text" w:horzAnchor="page" w:tblpX="1984" w:tblpY="623"/>
        <w:tblOverlap w:val="never"/>
        <w:tblW w:w="7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6"/>
        <w:gridCol w:w="2469"/>
        <w:gridCol w:w="831"/>
        <w:gridCol w:w="842"/>
        <w:gridCol w:w="1489"/>
      </w:tblGrid>
      <w:tr w14:paraId="400BE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2146" w:type="dxa"/>
            <w:vAlign w:val="center"/>
          </w:tcPr>
          <w:p w14:paraId="05AAE9D4">
            <w:pPr>
              <w:pStyle w:val="16"/>
              <w:numPr>
                <w:ilvl w:val="255"/>
                <w:numId w:val="0"/>
              </w:num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设备名称</w:t>
            </w:r>
          </w:p>
        </w:tc>
        <w:tc>
          <w:tcPr>
            <w:tcW w:w="2469" w:type="dxa"/>
            <w:vAlign w:val="center"/>
          </w:tcPr>
          <w:p w14:paraId="4866C7F7">
            <w:pPr>
              <w:pStyle w:val="16"/>
              <w:numPr>
                <w:ilvl w:val="255"/>
                <w:numId w:val="0"/>
              </w:num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型号规格</w:t>
            </w:r>
          </w:p>
        </w:tc>
        <w:tc>
          <w:tcPr>
            <w:tcW w:w="831" w:type="dxa"/>
            <w:vAlign w:val="center"/>
          </w:tcPr>
          <w:p w14:paraId="23D273BF">
            <w:pPr>
              <w:pStyle w:val="16"/>
              <w:numPr>
                <w:ilvl w:val="255"/>
                <w:numId w:val="0"/>
              </w:num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数量</w:t>
            </w:r>
          </w:p>
        </w:tc>
        <w:tc>
          <w:tcPr>
            <w:tcW w:w="842" w:type="dxa"/>
            <w:vAlign w:val="center"/>
          </w:tcPr>
          <w:p w14:paraId="395F2A86">
            <w:pPr>
              <w:pStyle w:val="16"/>
              <w:numPr>
                <w:ilvl w:val="255"/>
                <w:numId w:val="0"/>
              </w:numPr>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单位</w:t>
            </w:r>
          </w:p>
        </w:tc>
        <w:tc>
          <w:tcPr>
            <w:tcW w:w="1489" w:type="dxa"/>
            <w:vAlign w:val="center"/>
          </w:tcPr>
          <w:p w14:paraId="38594404">
            <w:pPr>
              <w:pStyle w:val="16"/>
              <w:numPr>
                <w:ilvl w:val="255"/>
                <w:numId w:val="0"/>
              </w:numPr>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金额（元）</w:t>
            </w:r>
          </w:p>
        </w:tc>
      </w:tr>
      <w:tr w14:paraId="00EE1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146" w:type="dxa"/>
            <w:vAlign w:val="center"/>
          </w:tcPr>
          <w:p w14:paraId="6A1092F7">
            <w:pPr>
              <w:keepNext w:val="0"/>
              <w:keepLines w:val="0"/>
              <w:widowControl/>
              <w:suppressLineNumbers w:val="0"/>
              <w:jc w:val="center"/>
              <w:textAlignment w:val="center"/>
              <w:rPr>
                <w:rFonts w:hint="eastAsia" w:ascii="仿宋_GB2312" w:hAnsi="仿宋_GB2312" w:eastAsia="仿宋_GB2312" w:cs="仿宋_GB2312"/>
                <w:sz w:val="24"/>
                <w:szCs w:val="24"/>
              </w:rPr>
            </w:pPr>
          </w:p>
        </w:tc>
        <w:tc>
          <w:tcPr>
            <w:tcW w:w="2469" w:type="dxa"/>
            <w:vAlign w:val="center"/>
          </w:tcPr>
          <w:p w14:paraId="3E08EA05">
            <w:pPr>
              <w:keepNext w:val="0"/>
              <w:keepLines w:val="0"/>
              <w:widowControl/>
              <w:suppressLineNumbers w:val="0"/>
              <w:jc w:val="center"/>
              <w:textAlignment w:val="center"/>
              <w:rPr>
                <w:rFonts w:hint="eastAsia" w:ascii="仿宋_GB2312" w:hAnsi="仿宋_GB2312" w:eastAsia="仿宋_GB2312" w:cs="仿宋_GB2312"/>
                <w:sz w:val="24"/>
                <w:szCs w:val="24"/>
              </w:rPr>
            </w:pPr>
          </w:p>
        </w:tc>
        <w:tc>
          <w:tcPr>
            <w:tcW w:w="831" w:type="dxa"/>
            <w:vAlign w:val="center"/>
          </w:tcPr>
          <w:p w14:paraId="1ECD361D">
            <w:pPr>
              <w:keepNext w:val="0"/>
              <w:keepLines w:val="0"/>
              <w:widowControl/>
              <w:suppressLineNumbers w:val="0"/>
              <w:jc w:val="center"/>
              <w:textAlignment w:val="center"/>
              <w:rPr>
                <w:rFonts w:hint="eastAsia" w:ascii="仿宋_GB2312" w:hAnsi="仿宋_GB2312" w:eastAsia="仿宋_GB2312" w:cs="仿宋_GB2312"/>
                <w:sz w:val="24"/>
                <w:szCs w:val="24"/>
              </w:rPr>
            </w:pPr>
          </w:p>
        </w:tc>
        <w:tc>
          <w:tcPr>
            <w:tcW w:w="842" w:type="dxa"/>
            <w:vAlign w:val="center"/>
          </w:tcPr>
          <w:p w14:paraId="56FEEC39">
            <w:pPr>
              <w:pStyle w:val="16"/>
              <w:numPr>
                <w:ilvl w:val="255"/>
                <w:numId w:val="0"/>
              </w:numPr>
              <w:jc w:val="center"/>
              <w:rPr>
                <w:rFonts w:hint="eastAsia" w:ascii="仿宋_GB2312" w:hAnsi="仿宋_GB2312" w:eastAsia="仿宋_GB2312" w:cs="仿宋_GB2312"/>
                <w:sz w:val="24"/>
                <w:szCs w:val="24"/>
                <w:lang w:val="en-US" w:eastAsia="zh-CN"/>
              </w:rPr>
            </w:pPr>
          </w:p>
        </w:tc>
        <w:tc>
          <w:tcPr>
            <w:tcW w:w="1489" w:type="dxa"/>
            <w:vAlign w:val="center"/>
          </w:tcPr>
          <w:p w14:paraId="1CD5340D">
            <w:pPr>
              <w:pStyle w:val="16"/>
              <w:numPr>
                <w:ilvl w:val="255"/>
                <w:numId w:val="0"/>
              </w:numPr>
              <w:jc w:val="center"/>
              <w:rPr>
                <w:rFonts w:hint="default" w:ascii="仿宋_GB2312" w:hAnsi="仿宋_GB2312" w:eastAsia="仿宋_GB2312" w:cs="仿宋_GB2312"/>
                <w:sz w:val="24"/>
                <w:szCs w:val="24"/>
                <w:lang w:val="en-US" w:eastAsia="zh-CN"/>
              </w:rPr>
            </w:pPr>
          </w:p>
        </w:tc>
      </w:tr>
    </w:tbl>
    <w:p w14:paraId="28AE3A10">
      <w:pPr>
        <w:pStyle w:val="16"/>
        <w:numPr>
          <w:ilvl w:val="255"/>
          <w:numId w:val="0"/>
        </w:numPr>
        <w:ind w:firstLine="480" w:firstLineChars="200"/>
        <w:rPr>
          <w:rFonts w:hint="default" w:ascii="仿宋_GB2312" w:hAnsi="仿宋_GB2312" w:cs="仿宋_GB2312" w:eastAsiaTheme="minorEastAsia"/>
          <w:sz w:val="24"/>
          <w:szCs w:val="24"/>
          <w:lang w:val="en-US" w:eastAsia="zh-CN"/>
        </w:rPr>
      </w:pPr>
      <w:r>
        <w:rPr>
          <w:rFonts w:hint="eastAsia" w:ascii="仿宋_GB2312" w:hAnsi="仿宋_GB2312" w:eastAsia="仿宋_GB2312" w:cs="仿宋_GB2312"/>
          <w:sz w:val="24"/>
          <w:szCs w:val="24"/>
          <w:lang w:val="en-US" w:eastAsia="zh-CN"/>
        </w:rPr>
        <w:t xml:space="preserve">                                      合计：</w:t>
      </w:r>
    </w:p>
    <w:p w14:paraId="19A3DBDE">
      <w:pPr>
        <w:pStyle w:val="16"/>
        <w:keepNext w:val="0"/>
        <w:keepLines w:val="0"/>
        <w:pageBreakBefore w:val="0"/>
        <w:widowControl w:val="0"/>
        <w:numPr>
          <w:ilvl w:val="255"/>
          <w:numId w:val="0"/>
        </w:numPr>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本</w:t>
      </w:r>
      <w:r>
        <w:rPr>
          <w:rFonts w:hint="eastAsia" w:ascii="仿宋_GB2312" w:hAnsi="仿宋_GB2312" w:eastAsia="仿宋_GB2312" w:cs="仿宋_GB2312"/>
          <w:sz w:val="24"/>
          <w:szCs w:val="24"/>
          <w:lang w:val="en-US" w:eastAsia="zh-CN"/>
        </w:rPr>
        <w:t>合同</w:t>
      </w:r>
      <w:r>
        <w:rPr>
          <w:rFonts w:hint="eastAsia" w:ascii="仿宋_GB2312" w:hAnsi="仿宋_GB2312" w:eastAsia="仿宋_GB2312" w:cs="仿宋_GB2312"/>
          <w:sz w:val="24"/>
          <w:szCs w:val="24"/>
        </w:rPr>
        <w:t>的服务内容包括设备人工费、拆卸/打包费用、搬</w:t>
      </w:r>
      <w:r>
        <w:rPr>
          <w:rFonts w:hint="eastAsia" w:ascii="仿宋_GB2312" w:hAnsi="仿宋_GB2312" w:eastAsia="仿宋_GB2312" w:cs="仿宋_GB2312"/>
          <w:sz w:val="24"/>
          <w:szCs w:val="24"/>
          <w:lang w:eastAsia="zh-CN"/>
        </w:rPr>
        <w:t>运</w:t>
      </w:r>
      <w:r>
        <w:rPr>
          <w:rFonts w:hint="eastAsia" w:ascii="仿宋_GB2312" w:hAnsi="仿宋_GB2312" w:eastAsia="仿宋_GB2312" w:cs="仿宋_GB2312"/>
          <w:sz w:val="24"/>
          <w:szCs w:val="24"/>
        </w:rPr>
        <w:t>费用、车辆运输费用、设备安装调试费、包装材料费、标签费、维修费等完成本项目所需一切费用</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并在合同生效后</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个工作日</w:t>
      </w:r>
      <w:r>
        <w:rPr>
          <w:rFonts w:ascii="仿宋_GB2312" w:hAnsi="仿宋_GB2312" w:eastAsia="仿宋_GB2312" w:cs="仿宋_GB2312"/>
          <w:sz w:val="24"/>
          <w:szCs w:val="24"/>
        </w:rPr>
        <w:t>内完成</w:t>
      </w:r>
      <w:r>
        <w:rPr>
          <w:rFonts w:hint="eastAsia" w:ascii="仿宋_GB2312" w:hAnsi="仿宋_GB2312" w:eastAsia="仿宋_GB2312" w:cs="仿宋_GB2312"/>
          <w:sz w:val="24"/>
          <w:szCs w:val="24"/>
          <w:lang w:eastAsia="zh-CN"/>
        </w:rPr>
        <w:t>搬迁</w:t>
      </w:r>
      <w:r>
        <w:rPr>
          <w:rFonts w:ascii="仿宋_GB2312" w:hAnsi="仿宋_GB2312" w:eastAsia="仿宋_GB2312" w:cs="仿宋_GB2312"/>
          <w:sz w:val="24"/>
          <w:szCs w:val="24"/>
        </w:rPr>
        <w:t>。</w:t>
      </w:r>
    </w:p>
    <w:p w14:paraId="5C1C6F28">
      <w:pPr>
        <w:keepNext w:val="0"/>
        <w:keepLines w:val="0"/>
        <w:pageBreakBefore w:val="0"/>
        <w:widowControl w:val="0"/>
        <w:numPr>
          <w:ilvl w:val="255"/>
          <w:numId w:val="0"/>
        </w:numPr>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二、合同总价</w:t>
      </w:r>
    </w:p>
    <w:p w14:paraId="1CE17EB0">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总价为：人民币</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rPr>
        <w:t>元整（大写），即RMB¥</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rPr>
        <w:t>元，该价格包括但不限于拆卸、运输、安装、调试、检测、税费等所有费用。</w:t>
      </w:r>
    </w:p>
    <w:p w14:paraId="56A3E2EB">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color w:val="FF0000"/>
          <w:sz w:val="24"/>
          <w:szCs w:val="24"/>
        </w:rPr>
      </w:pPr>
      <w:r>
        <w:rPr>
          <w:rFonts w:hint="eastAsia" w:ascii="仿宋_GB2312" w:hAnsi="仿宋_GB2312" w:eastAsia="仿宋_GB2312" w:cs="仿宋_GB2312"/>
          <w:b/>
          <w:bCs/>
          <w:sz w:val="24"/>
          <w:szCs w:val="24"/>
        </w:rPr>
        <w:t>三、结算方式</w:t>
      </w:r>
    </w:p>
    <w:p w14:paraId="0061D53B">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ascii="仿宋_GB2312" w:hAnsi="仿宋_GB2312" w:eastAsia="仿宋_GB2312" w:cs="仿宋_GB2312"/>
          <w:sz w:val="24"/>
          <w:szCs w:val="24"/>
        </w:rPr>
        <w:t>一）设备搬迁完成经验收合格后</w:t>
      </w:r>
      <w:r>
        <w:rPr>
          <w:rFonts w:hint="eastAsia" w:ascii="仿宋_GB2312" w:hAnsi="仿宋_GB2312" w:eastAsia="仿宋_GB2312" w:cs="仿宋_GB2312"/>
          <w:sz w:val="24"/>
          <w:szCs w:val="24"/>
          <w:lang w:val="en-US" w:eastAsia="zh-CN"/>
        </w:rPr>
        <w:t>60个工作日内</w:t>
      </w:r>
      <w:r>
        <w:rPr>
          <w:rFonts w:ascii="仿宋_GB2312" w:hAnsi="仿宋_GB2312" w:eastAsia="仿宋_GB2312" w:cs="仿宋_GB2312"/>
          <w:sz w:val="24"/>
          <w:szCs w:val="24"/>
        </w:rPr>
        <w:t>一次性付款。</w:t>
      </w:r>
    </w:p>
    <w:p w14:paraId="39D09738">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ascii="仿宋_GB2312" w:hAnsi="仿宋_GB2312" w:eastAsia="仿宋_GB2312" w:cs="仿宋_GB2312"/>
          <w:sz w:val="24"/>
          <w:szCs w:val="24"/>
        </w:rPr>
        <w:t>二）乙方凭以下文件申请付款：</w:t>
      </w:r>
    </w:p>
    <w:p w14:paraId="075136B1">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ascii="仿宋_GB2312" w:hAnsi="仿宋_GB2312" w:eastAsia="仿宋_GB2312" w:cs="仿宋_GB2312"/>
          <w:sz w:val="24"/>
          <w:szCs w:val="24"/>
        </w:rPr>
        <w:t>验收报告（甲方提供模板，必须有乙方、甲方使用科室及设备科的书面确认）；</w:t>
      </w:r>
    </w:p>
    <w:p w14:paraId="661B2DC5">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ascii="仿宋_GB2312" w:hAnsi="仿宋_GB2312" w:eastAsia="仿宋_GB2312" w:cs="仿宋_GB2312"/>
          <w:sz w:val="24"/>
          <w:szCs w:val="24"/>
        </w:rPr>
        <w:t>乙方开具的正式增值税专用/普通发票；</w:t>
      </w:r>
    </w:p>
    <w:p w14:paraId="3F6D13A0">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3.搬迁合同</w:t>
      </w:r>
      <w:r>
        <w:rPr>
          <w:rFonts w:hint="eastAsia" w:ascii="仿宋_GB2312" w:hAnsi="仿宋_GB2312" w:eastAsia="仿宋_GB2312" w:cs="仿宋_GB2312"/>
          <w:sz w:val="24"/>
          <w:szCs w:val="24"/>
          <w:lang w:eastAsia="zh-CN"/>
        </w:rPr>
        <w:t>原</w:t>
      </w:r>
      <w:r>
        <w:rPr>
          <w:rFonts w:ascii="仿宋_GB2312" w:hAnsi="仿宋_GB2312" w:eastAsia="仿宋_GB2312" w:cs="仿宋_GB2312"/>
          <w:sz w:val="24"/>
          <w:szCs w:val="24"/>
        </w:rPr>
        <w:t>件；</w:t>
      </w:r>
    </w:p>
    <w:p w14:paraId="42AF2953">
      <w:pPr>
        <w:keepNext w:val="0"/>
        <w:keepLines w:val="0"/>
        <w:pageBreakBefore w:val="0"/>
        <w:widowControl w:val="0"/>
        <w:kinsoku/>
        <w:wordWrap/>
        <w:overflowPunct/>
        <w:topLinePunct w:val="0"/>
        <w:autoSpaceDE/>
        <w:autoSpaceDN/>
        <w:bidi w:val="0"/>
        <w:adjustRightInd w:val="0"/>
        <w:snapToGrid w:val="0"/>
        <w:spacing w:line="336" w:lineRule="auto"/>
        <w:ind w:firstLine="482" w:firstLineChars="200"/>
        <w:textAlignment w:val="auto"/>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四、验收方式</w:t>
      </w:r>
    </w:p>
    <w:p w14:paraId="7F5DF56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1.当设备搬迁到达指定地点后，招标人、中标人和目前对设备进行维保的第三方公司共同对设备进行检验，并对设备技术参数进行逐项检查。验收以招标人的验收为准，应满足招标人的搬迁前设备状态。</w:t>
      </w:r>
    </w:p>
    <w:p w14:paraId="39C0347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2.验收由招标人、中标人及相关人员依照国家有关标准、合同及有关附件要求进行。</w:t>
      </w:r>
    </w:p>
    <w:p w14:paraId="1363872C">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3.设备安装调试完毕并正常运行满五个工作日后，由招标人与中标人共同在验收报告上签字确认，完成验收。</w:t>
      </w:r>
    </w:p>
    <w:p w14:paraId="7B63343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4.中标人应于验收后向招标人提供文档的归纳、整理、提交，并提供完整的技术文件：包括验收报告、技术文档。</w:t>
      </w:r>
    </w:p>
    <w:p w14:paraId="67C83D56">
      <w:pPr>
        <w:keepNext w:val="0"/>
        <w:keepLines w:val="0"/>
        <w:pageBreakBefore w:val="0"/>
        <w:widowControl w:val="0"/>
        <w:kinsoku/>
        <w:wordWrap/>
        <w:overflowPunct/>
        <w:topLinePunct w:val="0"/>
        <w:autoSpaceDE/>
        <w:autoSpaceDN/>
        <w:bidi w:val="0"/>
        <w:adjustRightInd w:val="0"/>
        <w:snapToGrid w:val="0"/>
        <w:spacing w:line="336" w:lineRule="auto"/>
        <w:ind w:firstLine="482" w:firstLineChars="200"/>
        <w:textAlignment w:val="auto"/>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五、项目管理要求</w:t>
      </w:r>
    </w:p>
    <w:p w14:paraId="67E95C9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（1）中标人开工前需筹备搬迁工作小组，设置搬迁组织管理架构，明确岗位职责，对项目安全、高效地进行统筹管理。</w:t>
      </w:r>
    </w:p>
    <w:p w14:paraId="7F99898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（2）中标人负责本项目搬迁的负责人必须是中标人的长期固定员工，具备符合本项目对应的项目管理经验。</w:t>
      </w:r>
    </w:p>
    <w:p w14:paraId="33243F5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（3）中标人必须有满足本搬迁项目所需的足够的搬运工人及相关设备工具。项目团队成员组织科学，服从招标人指挥，投入搬迁团队购买意外险及缴纳社保。</w:t>
      </w:r>
    </w:p>
    <w:p w14:paraId="1059879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（4）搬运人员要形象整齐、服装统一，服从安排，服务意识强，安全防范意识强。</w:t>
      </w:r>
    </w:p>
    <w:p w14:paraId="0B84656A">
      <w:pPr>
        <w:keepNext w:val="0"/>
        <w:keepLines w:val="0"/>
        <w:pageBreakBefore w:val="0"/>
        <w:widowControl w:val="0"/>
        <w:kinsoku/>
        <w:wordWrap/>
        <w:overflowPunct/>
        <w:topLinePunct w:val="0"/>
        <w:autoSpaceDE/>
        <w:autoSpaceDN/>
        <w:bidi w:val="0"/>
        <w:adjustRightInd w:val="0"/>
        <w:snapToGrid w:val="0"/>
        <w:spacing w:line="336" w:lineRule="auto"/>
        <w:ind w:firstLine="482" w:firstLineChars="200"/>
        <w:textAlignment w:val="auto"/>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六、项目服务要求</w:t>
      </w:r>
    </w:p>
    <w:p w14:paraId="2455629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中标人自行负责搬迁所需要的运输车辆、特种设备、项目管理人员、设备工程师、特殊工种人员、搬运人员及设备拆装工具、包装材料及小件物品纸箱、转运箱等物品。中标人需提供搬迁最低要求配置的车辆类型、牌照及起重设备操作人员、机电设备安装调试人员应持有相应的操作证、电工证等资格证书等。</w:t>
      </w:r>
    </w:p>
    <w:p w14:paraId="5BE242B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对医疗设备有针对性地采取保护措施，采用厚泡沫或软布料对其裸露部分进行特别包装保护，不得因拆、装卸、运输或组装过程中发生损伤或划伤的现象。如造成货物缺失或损坏，招标人有权要求中标人赔偿，有价物品按市价赔偿，无价物品视给招标人造成损失大小赔偿。</w:t>
      </w:r>
    </w:p>
    <w:p w14:paraId="0147BD9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（3）中标人在搬运过程中应保证搬迁仪器设备及招标人地点的地面、墙面、门等原有装修的完好无损，如造成损失由中标人承担赔偿责任。</w:t>
      </w:r>
    </w:p>
    <w:p w14:paraId="465D550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（4）中标人如违反有关规定、条款，招标人有权按照相关规定、法律追究中标人相关责任。</w:t>
      </w:r>
    </w:p>
    <w:p w14:paraId="336A823B">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（5）所有物资搬迁完成后，提供设施设备布局调整的搬移服务、零星遗漏物资搬迁的时间。</w:t>
      </w:r>
    </w:p>
    <w:p w14:paraId="3B2E701D">
      <w:pPr>
        <w:keepNext w:val="0"/>
        <w:keepLines w:val="0"/>
        <w:pageBreakBefore w:val="0"/>
        <w:widowControl w:val="0"/>
        <w:kinsoku/>
        <w:wordWrap/>
        <w:overflowPunct/>
        <w:topLinePunct w:val="0"/>
        <w:autoSpaceDE/>
        <w:autoSpaceDN/>
        <w:bidi w:val="0"/>
        <w:adjustRightInd w:val="0"/>
        <w:snapToGrid w:val="0"/>
        <w:spacing w:line="336" w:lineRule="auto"/>
        <w:ind w:firstLine="482" w:firstLineChars="200"/>
        <w:textAlignment w:val="auto"/>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七、技术要求</w:t>
      </w:r>
    </w:p>
    <w:p w14:paraId="398A384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（1）搬迁前需对所需搬迁单位的物品按部门进行核定清点，并做好物品造册登记交接，双方确定数量后方可搬迁，搬迁后双方确认数量无误、无损坏后签字验收。</w:t>
      </w:r>
    </w:p>
    <w:p w14:paraId="044792B4">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（2）重要设备必须先确认设备性能是否正常，对于有缺陷、本身存在问题的设备先登记确认。</w:t>
      </w:r>
    </w:p>
    <w:p w14:paraId="43D6D32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（3）搬迁前，中标人先做出搬迁部门的先后顺序，以及每个部门大概需要的时间，以便使用单位提前做好准备。</w:t>
      </w:r>
    </w:p>
    <w:p w14:paraId="0F59410A">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（4）搬迁前7天中标人包装材料和纸箱运送到使用单位，并分发到各部门。</w:t>
      </w:r>
    </w:p>
    <w:p w14:paraId="3786DCC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（5）物品搬迁必须按照使用单位需求放置到指定的位置。</w:t>
      </w:r>
    </w:p>
    <w:p w14:paraId="3227A83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（6）设备仪器需要专业技术人员进行拆装调试，确保仪器设备搬迁到新址后能正常使用。</w:t>
      </w:r>
    </w:p>
    <w:p w14:paraId="7249C4E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（7）贵重仪器设备施工单位必须购买相应数额的保险。</w:t>
      </w:r>
    </w:p>
    <w:p w14:paraId="1C295FC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（8）贵重、精密仪器设备搬迁前，施工单位必须采用可靠的保护措施，包括使用专业木箱包装、软物填充、防震保护等措施。</w:t>
      </w:r>
    </w:p>
    <w:p w14:paraId="045C42A5">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（9）少许特大件设备需要动用起重设备和叉车。</w:t>
      </w:r>
    </w:p>
    <w:p w14:paraId="1B723FD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（10）搬运过程中注意物品属性，不能挤压、叠放的物品坚决不能叠放。易碎、不能倒放物品需在外包装上进行标识。</w:t>
      </w:r>
    </w:p>
    <w:p w14:paraId="21DAEFB6">
      <w:pPr>
        <w:keepNext w:val="0"/>
        <w:keepLines w:val="0"/>
        <w:pageBreakBefore w:val="0"/>
        <w:widowControl w:val="0"/>
        <w:kinsoku/>
        <w:wordWrap/>
        <w:overflowPunct/>
        <w:topLinePunct w:val="0"/>
        <w:autoSpaceDE/>
        <w:autoSpaceDN/>
        <w:bidi w:val="0"/>
        <w:adjustRightInd w:val="0"/>
        <w:snapToGrid w:val="0"/>
        <w:spacing w:line="336" w:lineRule="auto"/>
        <w:ind w:firstLine="482" w:firstLineChars="200"/>
        <w:textAlignment w:val="auto"/>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八、安全要求</w:t>
      </w:r>
    </w:p>
    <w:p w14:paraId="6C3B57D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（1）中标人搬运前必须提供参与本项目的团队成员的无犯罪查询记录。</w:t>
      </w:r>
    </w:p>
    <w:p w14:paraId="510AF27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（2）中标人与招标人签署安全承诺书。</w:t>
      </w:r>
    </w:p>
    <w:p w14:paraId="6753755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（3）搬运期间禁带一切火种。</w:t>
      </w:r>
    </w:p>
    <w:p w14:paraId="4319A7E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（4）参与搬运的所有工人必须有保险（社保或者商业保险）。</w:t>
      </w:r>
    </w:p>
    <w:p w14:paraId="27B4EFE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（5）中标人提供的运输车辆车况、密封性必须达标。</w:t>
      </w:r>
    </w:p>
    <w:p w14:paraId="728AF2E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（6）投入本项目的运输车辆需购买《机动车第三者责任保险》。</w:t>
      </w:r>
    </w:p>
    <w:p w14:paraId="79C6BF7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（7）中标人必须制定应急保障预防措施：对于采购方不确定因素工期缩短应急预案；搬迁过程中遇台风或暴雨天气影响应急预案；防火防盗安全应急预案；突发事件应急预案等。</w:t>
      </w:r>
    </w:p>
    <w:p w14:paraId="4B9B5B0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（8）在医院整个搬迁服务中的安全问题均由中标人自行承担：因中标人在工作中造成消防安全事故，造成人身伤亡、财产损失，中标人必须承担全部责任。</w:t>
      </w:r>
    </w:p>
    <w:p w14:paraId="621E6524">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2" w:firstLineChars="200"/>
        <w:textAlignment w:val="auto"/>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九、质量要求</w:t>
      </w:r>
    </w:p>
    <w:p w14:paraId="5633CC0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中标人应根据仪器/设备厂家授权方的要求进行搬运，并保证所有拆卸下来的仪器部件在搬运过程中完好无损，数量无误，不得乱扔乱放，随意搬运。</w:t>
      </w:r>
    </w:p>
    <w:p w14:paraId="3FC5934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包装：选择结实、合适的包装箱，外包装要牢固。</w:t>
      </w:r>
    </w:p>
    <w:p w14:paraId="6E95A134">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标识：外包装上标识明确设备及物品名称。</w:t>
      </w:r>
    </w:p>
    <w:p w14:paraId="59FD32AB">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拆装：需要拆装的，如果相关设备拆装需要相关资质的，需要由有相关设备拆装资质的人员负责拆装，并要恢复组装成原样，并负责设备在新场地的安装所需配套施工及材料，如线路、管道、水电风网络信号等的布设、改造和连接施工。安装需要满足国家现行相关规范和设备使用的相关要求，保障设备重新正常使用。</w:t>
      </w:r>
    </w:p>
    <w:p w14:paraId="6D93880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方向：按照设备要求不得倒置，有箭头标识。</w:t>
      </w:r>
    </w:p>
    <w:p w14:paraId="0C6F81A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易碎物品：在外包装上应注明，做好防破碎保护，轻拿轻放。</w:t>
      </w:r>
    </w:p>
    <w:p w14:paraId="216C78A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防震动：运输过程要注明。</w:t>
      </w:r>
    </w:p>
    <w:p w14:paraId="30B1B48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贵重设备：签署保险合同。</w:t>
      </w:r>
    </w:p>
    <w:p w14:paraId="0712FB3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配件：原配件要随设备一起打包运输，不得丢失。</w:t>
      </w:r>
    </w:p>
    <w:p w14:paraId="2315CE8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防水： 搬运过程不得淋雨水。</w:t>
      </w:r>
    </w:p>
    <w:p w14:paraId="4209642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数量：保证如数搬运，不得丢失。</w:t>
      </w:r>
    </w:p>
    <w:p w14:paraId="77A6EDC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480" w:firstLineChars="200"/>
        <w:textAlignment w:val="auto"/>
        <w:rPr>
          <w:rFonts w:hint="default"/>
          <w:sz w:val="24"/>
          <w:szCs w:val="24"/>
          <w:lang w:val="en-US" w:eastAsia="zh-CN"/>
        </w:rPr>
      </w:pPr>
      <w:r>
        <w:rPr>
          <w:rFonts w:hint="eastAsia" w:ascii="仿宋_GB2312" w:hAnsi="仿宋_GB2312" w:eastAsia="仿宋_GB2312" w:cs="仿宋_GB2312"/>
          <w:color w:val="000000"/>
          <w:kern w:val="0"/>
          <w:sz w:val="24"/>
          <w:szCs w:val="24"/>
          <w:lang w:val="en-US" w:eastAsia="zh-CN" w:bidi="ar"/>
        </w:rPr>
        <w:t>完好：不得损坏，准确放置到位。</w:t>
      </w:r>
    </w:p>
    <w:p w14:paraId="7CC65D6D">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sz w:val="24"/>
          <w:szCs w:val="24"/>
        </w:rPr>
      </w:pPr>
      <w:r>
        <w:rPr>
          <w:rFonts w:hint="eastAsia" w:ascii="仿宋_GB2312" w:hAnsi="仿宋_GB2312" w:eastAsia="仿宋_GB2312" w:cs="仿宋_GB2312"/>
          <w:b/>
          <w:bCs/>
          <w:sz w:val="24"/>
          <w:szCs w:val="24"/>
          <w:lang w:val="en-US" w:eastAsia="zh-CN"/>
        </w:rPr>
        <w:t>十、</w:t>
      </w:r>
      <w:r>
        <w:rPr>
          <w:rFonts w:hint="eastAsia" w:ascii="仿宋_GB2312" w:hAnsi="仿宋_GB2312" w:eastAsia="仿宋_GB2312" w:cs="仿宋_GB2312"/>
          <w:b/>
          <w:bCs/>
          <w:sz w:val="24"/>
          <w:szCs w:val="24"/>
        </w:rPr>
        <w:t>信息保密</w:t>
      </w:r>
    </w:p>
    <w:p w14:paraId="7B6816A5">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双方对本合同，与本合同相关的其它信息均有保密义务。未经另一方事先书面同意，任何一方不得将该信息的任何部分向任何第三方或社会公众披露。如最终用户或政府部门要求甲方或乙方提供保密信息，该方应将此要求及时通知另一方。</w:t>
      </w:r>
    </w:p>
    <w:p w14:paraId="0274A616">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sz w:val="24"/>
          <w:szCs w:val="24"/>
        </w:rPr>
      </w:pPr>
      <w:r>
        <w:rPr>
          <w:rFonts w:hint="eastAsia" w:ascii="仿宋_GB2312" w:hAnsi="仿宋_GB2312" w:eastAsia="仿宋_GB2312" w:cs="仿宋_GB2312"/>
          <w:b/>
          <w:bCs/>
          <w:sz w:val="24"/>
          <w:szCs w:val="24"/>
          <w:lang w:val="en-US" w:eastAsia="zh-CN"/>
        </w:rPr>
        <w:t>十一、</w:t>
      </w:r>
      <w:r>
        <w:rPr>
          <w:rFonts w:hint="eastAsia" w:ascii="仿宋_GB2312" w:hAnsi="仿宋_GB2312" w:eastAsia="仿宋_GB2312" w:cs="仿宋_GB2312"/>
          <w:b/>
          <w:bCs/>
          <w:sz w:val="24"/>
          <w:szCs w:val="24"/>
        </w:rPr>
        <w:t>违约与处罚</w:t>
      </w:r>
    </w:p>
    <w:p w14:paraId="5628E969">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default" w:ascii="仿宋_GB2312" w:hAnsi="仿宋_GB2312" w:eastAsia="仿宋_GB2312" w:cs="仿宋_GB2312"/>
          <w:sz w:val="24"/>
          <w:szCs w:val="24"/>
          <w:lang w:val="en-US" w:eastAsia="zh-CN"/>
        </w:rPr>
      </w:pPr>
      <w:r>
        <w:rPr>
          <w:rFonts w:hint="eastAsia"/>
          <w:sz w:val="24"/>
          <w:szCs w:val="24"/>
          <w:lang w:val="en-US" w:eastAsia="zh-CN"/>
        </w:rPr>
        <w:t xml:space="preserve"> </w:t>
      </w:r>
      <w:r>
        <w:rPr>
          <w:rFonts w:hint="eastAsia" w:ascii="仿宋_GB2312" w:hAnsi="仿宋_GB2312" w:eastAsia="仿宋_GB2312" w:cs="仿宋_GB2312"/>
          <w:sz w:val="24"/>
          <w:szCs w:val="24"/>
          <w:lang w:val="en-US" w:eastAsia="zh-CN"/>
        </w:rPr>
        <w:t>（一）</w:t>
      </w:r>
      <w:r>
        <w:rPr>
          <w:rFonts w:hint="eastAsia" w:ascii="仿宋_GB2312" w:hAnsi="仿宋_GB2312" w:eastAsia="仿宋_GB2312" w:cs="仿宋_GB2312"/>
          <w:sz w:val="24"/>
          <w:szCs w:val="24"/>
        </w:rPr>
        <w:t>搬迁全过程（含拆机、包装、装卸、运输、就位、调试）中，因乙方（含其人员、分包、工具、车辆）故意、过失、操作不当、保护措施不足导致甲方设备损坏、丢失、性能下降、数据丢失的，由乙方承担全部赔偿责任。</w:t>
      </w:r>
    </w:p>
    <w:p w14:paraId="6EA49F27">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）由于公认的不可抗力事件造成的损失（如自然灾害、战争等），甲方根据实际情况部分或全部免除责任，并及时通知乙方。</w:t>
      </w:r>
    </w:p>
    <w:p w14:paraId="547918AF">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三</w:t>
      </w:r>
      <w:r>
        <w:rPr>
          <w:rFonts w:ascii="仿宋_GB2312" w:hAnsi="仿宋_GB2312" w:eastAsia="仿宋_GB2312" w:cs="仿宋_GB2312"/>
          <w:sz w:val="24"/>
          <w:szCs w:val="24"/>
        </w:rPr>
        <w:t>）</w:t>
      </w:r>
      <w:r>
        <w:rPr>
          <w:rFonts w:hint="eastAsia" w:ascii="仿宋_GB2312" w:hAnsi="仿宋_GB2312" w:eastAsia="仿宋_GB2312" w:cs="仿宋_GB2312"/>
          <w:sz w:val="24"/>
          <w:szCs w:val="24"/>
        </w:rPr>
        <w:t>乙方未能按时完成</w:t>
      </w:r>
      <w:r>
        <w:rPr>
          <w:rFonts w:hint="eastAsia" w:ascii="仿宋_GB2312" w:hAnsi="仿宋_GB2312" w:eastAsia="仿宋_GB2312" w:cs="仿宋_GB2312"/>
          <w:sz w:val="24"/>
          <w:szCs w:val="24"/>
          <w:lang w:eastAsia="zh-CN"/>
        </w:rPr>
        <w:t>搬迁</w:t>
      </w:r>
      <w:r>
        <w:rPr>
          <w:rFonts w:hint="eastAsia" w:ascii="仿宋_GB2312" w:hAnsi="仿宋_GB2312" w:eastAsia="仿宋_GB2312" w:cs="仿宋_GB2312"/>
          <w:sz w:val="24"/>
          <w:szCs w:val="24"/>
        </w:rPr>
        <w:t>的，每逾期一天，乙方按协议总金额的</w:t>
      </w:r>
      <w:r>
        <w:rPr>
          <w:rFonts w:ascii="仿宋_GB2312" w:hAnsi="仿宋_GB2312" w:eastAsia="仿宋_GB2312" w:cs="仿宋_GB2312"/>
          <w:sz w:val="24"/>
          <w:szCs w:val="24"/>
        </w:rPr>
        <w:t>5</w:t>
      </w:r>
      <w:r>
        <w:rPr>
          <w:rFonts w:hint="eastAsia" w:ascii="仿宋_GB2312" w:hAnsi="仿宋_GB2312" w:eastAsia="仿宋_GB2312" w:cs="仿宋_GB2312"/>
          <w:sz w:val="24"/>
          <w:szCs w:val="24"/>
        </w:rPr>
        <w:t>‰</w:t>
      </w:r>
      <w:r>
        <w:rPr>
          <w:rFonts w:ascii="仿宋_GB2312" w:hAnsi="仿宋_GB2312" w:eastAsia="仿宋_GB2312" w:cs="仿宋_GB2312"/>
          <w:sz w:val="24"/>
          <w:szCs w:val="24"/>
        </w:rPr>
        <w:t>向甲方支付违约金，并赔偿甲方因此所造成的损失，甲方有权在应付费用中扣减以上费用，逾期满15天，甲方有权解除本协议并无需向乙方支付任何费用。</w:t>
      </w:r>
    </w:p>
    <w:p w14:paraId="36D4B4F7">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color w:val="FF0000"/>
          <w:sz w:val="24"/>
          <w:szCs w:val="24"/>
        </w:rPr>
      </w:pPr>
      <w:r>
        <w:rPr>
          <w:rFonts w:hint="eastAsia" w:ascii="仿宋_GB2312" w:hAnsi="仿宋_GB2312" w:eastAsia="仿宋_GB2312" w:cs="仿宋_GB2312"/>
          <w:b/>
          <w:bCs/>
          <w:sz w:val="24"/>
          <w:szCs w:val="24"/>
          <w:lang w:val="en-US" w:eastAsia="zh-CN"/>
        </w:rPr>
        <w:t>十二、</w:t>
      </w:r>
      <w:r>
        <w:rPr>
          <w:rFonts w:hint="eastAsia" w:ascii="仿宋_GB2312" w:hAnsi="仿宋_GB2312" w:eastAsia="仿宋_GB2312" w:cs="仿宋_GB2312"/>
          <w:b/>
          <w:bCs/>
          <w:sz w:val="24"/>
          <w:szCs w:val="24"/>
        </w:rPr>
        <w:t>合同生效</w:t>
      </w:r>
    </w:p>
    <w:p w14:paraId="1E8A196C">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合同自双方签字盖章之日起生效。</w:t>
      </w:r>
    </w:p>
    <w:p w14:paraId="550B0DAA">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sz w:val="24"/>
          <w:szCs w:val="24"/>
        </w:rPr>
      </w:pPr>
      <w:r>
        <w:rPr>
          <w:rFonts w:hint="eastAsia" w:ascii="仿宋_GB2312" w:hAnsi="仿宋_GB2312" w:eastAsia="仿宋_GB2312" w:cs="仿宋_GB2312"/>
          <w:b/>
          <w:bCs/>
          <w:sz w:val="24"/>
          <w:szCs w:val="24"/>
          <w:lang w:val="en-US" w:eastAsia="zh-CN"/>
        </w:rPr>
        <w:t>十三、</w:t>
      </w:r>
      <w:r>
        <w:rPr>
          <w:rFonts w:hint="eastAsia" w:ascii="仿宋_GB2312" w:hAnsi="仿宋_GB2312" w:eastAsia="仿宋_GB2312" w:cs="仿宋_GB2312"/>
          <w:b/>
          <w:bCs/>
          <w:sz w:val="24"/>
          <w:szCs w:val="24"/>
        </w:rPr>
        <w:t>合同的变更和转让</w:t>
      </w:r>
    </w:p>
    <w:p w14:paraId="1ECD63F0">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合同有效期内, 任何一方不得擅自变更合同的权利和义务,除非双方的授权代表以书面的方式确认。如乙方将合同的部分或全部转让给其关联公司，必须经甲方同意,并要保证甲方利益不受损害。</w:t>
      </w:r>
    </w:p>
    <w:p w14:paraId="06B8DD13">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en-US" w:eastAsia="zh-CN"/>
        </w:rPr>
        <w:t>十四、</w:t>
      </w:r>
      <w:r>
        <w:rPr>
          <w:rFonts w:hint="eastAsia" w:ascii="仿宋_GB2312" w:hAnsi="仿宋_GB2312" w:eastAsia="仿宋_GB2312" w:cs="仿宋_GB2312"/>
          <w:b/>
          <w:bCs/>
          <w:sz w:val="24"/>
          <w:szCs w:val="24"/>
          <w:lang w:eastAsia="zh-Hans"/>
        </w:rPr>
        <w:t>争议解决</w:t>
      </w:r>
    </w:p>
    <w:p w14:paraId="19073AB2">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双方在履约中如发生争议，应通过友好协商解决，协商不成，任何一方可向甲方所在地的人民法院提起诉讼。诉讼期间，双方应继续执行合同其余部分。</w:t>
      </w:r>
    </w:p>
    <w:p w14:paraId="118677C6">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十</w:t>
      </w:r>
      <w:r>
        <w:rPr>
          <w:rFonts w:hint="eastAsia" w:ascii="仿宋_GB2312" w:hAnsi="仿宋_GB2312" w:eastAsia="仿宋_GB2312" w:cs="仿宋_GB2312"/>
          <w:b/>
          <w:bCs/>
          <w:sz w:val="24"/>
          <w:szCs w:val="24"/>
          <w:lang w:val="en-US" w:eastAsia="zh-CN"/>
        </w:rPr>
        <w:t>五</w:t>
      </w:r>
      <w:r>
        <w:rPr>
          <w:rFonts w:hint="eastAsia" w:ascii="仿宋_GB2312" w:hAnsi="仿宋_GB2312" w:eastAsia="仿宋_GB2312" w:cs="仿宋_GB2312"/>
          <w:b/>
          <w:bCs/>
          <w:sz w:val="24"/>
          <w:szCs w:val="24"/>
        </w:rPr>
        <w:t>、其他</w:t>
      </w:r>
    </w:p>
    <w:p w14:paraId="50EBAF8F">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（一）详细价格、技术说明及其它有关本项目特定信息的所有附件均为本协议不可分割的部分，与本协议具有同等的法律效力。</w:t>
      </w:r>
    </w:p>
    <w:p w14:paraId="503EAEE4">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仿宋_GB2312" w:hAnsi="仿宋_GB2312" w:eastAsia="仿宋_GB2312" w:cs="仿宋_GB2312"/>
          <w:sz w:val="24"/>
          <w:szCs w:val="24"/>
        </w:rPr>
      </w:pPr>
      <w:r>
        <w:rPr>
          <w:rFonts w:hint="eastAsia" w:ascii="仿宋_GB2312" w:hAnsi="仿宋_GB2312" w:eastAsia="仿宋_GB2312" w:cs="仿宋_GB2312"/>
          <w:sz w:val="24"/>
          <w:szCs w:val="24"/>
        </w:rPr>
        <w:t>（二）本合同正本肆份，具有同等法律效力，甲方执叁份，乙方执壹份。合同自双方签字盖章之日起即时生效。</w:t>
      </w:r>
    </w:p>
    <w:p w14:paraId="5205FD8F">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ascii="楷体" w:hAnsi="楷体" w:eastAsia="楷体" w:cs="楷体"/>
          <w:sz w:val="24"/>
          <w:szCs w:val="24"/>
        </w:rPr>
      </w:pPr>
      <w:r>
        <w:rPr>
          <w:rFonts w:hint="eastAsia" w:ascii="仿宋_GB2312" w:hAnsi="仿宋_GB2312" w:eastAsia="仿宋_GB2312" w:cs="仿宋_GB2312"/>
          <w:sz w:val="24"/>
          <w:szCs w:val="24"/>
        </w:rPr>
        <w:t>（三）本合同未尽事宜，由双方协商处理。</w:t>
      </w:r>
    </w:p>
    <w:p w14:paraId="55C70CD1">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4"/>
          <w:szCs w:val="24"/>
          <w:highlight w:val="none"/>
        </w:rPr>
      </w:pPr>
      <w:r>
        <w:rPr>
          <w:rFonts w:hint="eastAsia" w:ascii="华文仿宋" w:hAnsi="华文仿宋" w:eastAsia="华文仿宋" w:cs="华文仿宋"/>
          <w:sz w:val="24"/>
          <w:szCs w:val="24"/>
          <w:highlight w:val="none"/>
        </w:rPr>
        <w:t>甲方：                                 乙方：</w:t>
      </w:r>
    </w:p>
    <w:p w14:paraId="3E5AD94C">
      <w:pPr>
        <w:keepNext w:val="0"/>
        <w:keepLines w:val="0"/>
        <w:pageBreakBefore w:val="0"/>
        <w:widowControl w:val="0"/>
        <w:kinsoku/>
        <w:wordWrap/>
        <w:overflowPunct/>
        <w:topLinePunct w:val="0"/>
        <w:autoSpaceDE/>
        <w:autoSpaceDN/>
        <w:bidi w:val="0"/>
        <w:adjustRightInd w:val="0"/>
        <w:snapToGrid w:val="0"/>
        <w:spacing w:line="336" w:lineRule="auto"/>
        <w:jc w:val="left"/>
        <w:textAlignment w:val="auto"/>
        <w:rPr>
          <w:rFonts w:hint="eastAsia" w:ascii="华文仿宋" w:hAnsi="华文仿宋" w:eastAsia="华文仿宋" w:cs="华文仿宋"/>
          <w:sz w:val="24"/>
          <w:szCs w:val="24"/>
          <w:u w:val="single"/>
        </w:rPr>
      </w:pPr>
      <w:r>
        <w:rPr>
          <w:rFonts w:hint="eastAsia" w:ascii="华文仿宋" w:hAnsi="华文仿宋" w:eastAsia="华文仿宋" w:cs="华文仿宋"/>
          <w:sz w:val="24"/>
          <w:szCs w:val="24"/>
          <w:highlight w:val="none"/>
          <w:u w:val="single"/>
          <w:lang w:eastAsia="zh-CN"/>
        </w:rPr>
        <w:t>广州中医药大学第一附属医院中山医院</w:t>
      </w:r>
      <w:r>
        <w:rPr>
          <w:rFonts w:hint="eastAsia" w:ascii="华文仿宋" w:hAnsi="华文仿宋" w:eastAsia="华文仿宋" w:cs="华文仿宋"/>
          <w:sz w:val="24"/>
          <w:szCs w:val="24"/>
          <w:highlight w:val="none"/>
        </w:rPr>
        <w:t xml:space="preserve">    </w:t>
      </w:r>
      <w:r>
        <w:rPr>
          <w:rFonts w:hint="eastAsia" w:ascii="华文仿宋" w:hAnsi="华文仿宋" w:eastAsia="华文仿宋" w:cs="华文仿宋"/>
          <w:sz w:val="24"/>
          <w:szCs w:val="24"/>
          <w:highlight w:val="none"/>
          <w:u w:val="single"/>
          <w:lang w:val="en-US" w:eastAsia="zh-CN"/>
        </w:rPr>
        <w:t xml:space="preserve">                   </w:t>
      </w:r>
      <w:r>
        <w:rPr>
          <w:rFonts w:hint="eastAsia" w:ascii="华文仿宋" w:hAnsi="华文仿宋" w:eastAsia="华文仿宋" w:cs="华文仿宋"/>
          <w:sz w:val="24"/>
          <w:szCs w:val="24"/>
          <w:u w:val="single"/>
        </w:rPr>
        <w:t xml:space="preserve"> </w:t>
      </w:r>
    </w:p>
    <w:p w14:paraId="57CD2020">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4"/>
          <w:szCs w:val="24"/>
        </w:rPr>
      </w:pPr>
      <w:r>
        <w:rPr>
          <w:rFonts w:hint="eastAsia" w:ascii="华文仿宋" w:hAnsi="华文仿宋" w:eastAsia="华文仿宋" w:cs="华文仿宋"/>
          <w:sz w:val="24"/>
          <w:szCs w:val="24"/>
        </w:rPr>
        <w:t>签约代表：                            签约代表：</w:t>
      </w:r>
    </w:p>
    <w:p w14:paraId="178F0222">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4"/>
          <w:szCs w:val="24"/>
        </w:rPr>
      </w:pPr>
      <w:r>
        <w:rPr>
          <w:rFonts w:hint="eastAsia" w:ascii="华文仿宋" w:hAnsi="华文仿宋" w:eastAsia="华文仿宋" w:cs="华文仿宋"/>
          <w:sz w:val="24"/>
          <w:szCs w:val="24"/>
        </w:rPr>
        <w:t>地址：中山市三乡镇康乐路10号        地址：</w:t>
      </w:r>
    </w:p>
    <w:p w14:paraId="4CE9B1BB">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4"/>
          <w:szCs w:val="24"/>
        </w:rPr>
      </w:pPr>
      <w:r>
        <w:rPr>
          <w:rFonts w:hint="eastAsia" w:ascii="华文仿宋" w:hAnsi="华文仿宋" w:eastAsia="华文仿宋" w:cs="华文仿宋"/>
          <w:sz w:val="24"/>
          <w:szCs w:val="24"/>
        </w:rPr>
        <w:t>电话：0760-23809975　　               电话：</w:t>
      </w:r>
    </w:p>
    <w:p w14:paraId="555E026E">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color w:val="000000"/>
          <w:kern w:val="0"/>
          <w:sz w:val="24"/>
          <w:szCs w:val="24"/>
          <w:lang w:bidi="ar"/>
        </w:rPr>
      </w:pPr>
      <w:r>
        <w:rPr>
          <w:rFonts w:hint="eastAsia" w:ascii="华文仿宋" w:hAnsi="华文仿宋" w:eastAsia="华文仿宋" w:cs="华文仿宋"/>
          <w:sz w:val="24"/>
          <w:szCs w:val="24"/>
        </w:rPr>
        <w:t>签约日期：2026年4月   日            签约日期：2026年4月   日</w:t>
      </w:r>
    </w:p>
    <w:p w14:paraId="1B785616">
      <w:pPr>
        <w:jc w:val="left"/>
        <w:rPr>
          <w:rFonts w:hint="eastAsia"/>
          <w:b w:val="0"/>
          <w:bCs/>
          <w:sz w:val="24"/>
          <w:szCs w:val="24"/>
          <w:lang w:eastAsia="zh-CN"/>
        </w:rPr>
      </w:pPr>
    </w:p>
    <w:p w14:paraId="5C45FEA8">
      <w:pPr>
        <w:jc w:val="left"/>
        <w:rPr>
          <w:rFonts w:hint="eastAsia"/>
          <w:b w:val="0"/>
          <w:bCs/>
          <w:sz w:val="24"/>
          <w:szCs w:val="24"/>
          <w:lang w:eastAsia="zh-CN"/>
        </w:rPr>
      </w:pPr>
    </w:p>
    <w:p w14:paraId="620D5F34">
      <w:pPr>
        <w:jc w:val="left"/>
        <w:rPr>
          <w:rFonts w:hint="eastAsia"/>
          <w:b w:val="0"/>
          <w:bCs/>
          <w:sz w:val="24"/>
          <w:szCs w:val="24"/>
          <w:lang w:eastAsia="zh-CN"/>
        </w:rPr>
      </w:pPr>
    </w:p>
    <w:p w14:paraId="0C3D8B14">
      <w:pPr>
        <w:jc w:val="left"/>
        <w:rPr>
          <w:rFonts w:hint="eastAsia"/>
          <w:b w:val="0"/>
          <w:bCs/>
          <w:sz w:val="24"/>
          <w:szCs w:val="24"/>
          <w:lang w:eastAsia="zh-CN"/>
        </w:rPr>
      </w:pPr>
    </w:p>
    <w:p w14:paraId="4A7BD0C3">
      <w:pPr>
        <w:jc w:val="left"/>
        <w:rPr>
          <w:rFonts w:hint="eastAsia"/>
          <w:b w:val="0"/>
          <w:bCs/>
          <w:sz w:val="24"/>
          <w:szCs w:val="24"/>
          <w:lang w:eastAsia="zh-CN"/>
        </w:rPr>
      </w:pPr>
    </w:p>
    <w:p w14:paraId="47227E6B">
      <w:pPr>
        <w:jc w:val="left"/>
        <w:rPr>
          <w:rFonts w:hint="eastAsia"/>
          <w:b w:val="0"/>
          <w:bCs/>
          <w:sz w:val="24"/>
          <w:szCs w:val="24"/>
          <w:lang w:eastAsia="zh-CN"/>
        </w:rPr>
      </w:pPr>
    </w:p>
    <w:p w14:paraId="540D6B3C">
      <w:pPr>
        <w:jc w:val="left"/>
        <w:rPr>
          <w:rFonts w:hint="eastAsia"/>
          <w:b w:val="0"/>
          <w:bCs/>
          <w:sz w:val="24"/>
          <w:szCs w:val="24"/>
          <w:lang w:eastAsia="zh-CN"/>
        </w:rPr>
      </w:pPr>
    </w:p>
    <w:p w14:paraId="3D1438ED">
      <w:pPr>
        <w:jc w:val="left"/>
        <w:rPr>
          <w:rFonts w:hint="eastAsia"/>
          <w:b w:val="0"/>
          <w:bCs/>
          <w:sz w:val="24"/>
          <w:szCs w:val="24"/>
          <w:lang w:eastAsia="zh-CN"/>
        </w:rPr>
      </w:pPr>
    </w:p>
    <w:p w14:paraId="32D29DFC">
      <w:pPr>
        <w:pStyle w:val="2"/>
        <w:rPr>
          <w:rFonts w:hint="eastAsia"/>
          <w:b w:val="0"/>
          <w:bCs/>
          <w:sz w:val="24"/>
          <w:szCs w:val="24"/>
          <w:lang w:eastAsia="zh-CN"/>
        </w:rPr>
      </w:pPr>
    </w:p>
    <w:p w14:paraId="3B8817B2">
      <w:pPr>
        <w:rPr>
          <w:rFonts w:hint="eastAsia"/>
          <w:b w:val="0"/>
          <w:bCs/>
          <w:sz w:val="24"/>
          <w:szCs w:val="24"/>
          <w:lang w:eastAsia="zh-CN"/>
        </w:rPr>
      </w:pPr>
    </w:p>
    <w:p w14:paraId="2783F845">
      <w:pPr>
        <w:pStyle w:val="2"/>
        <w:rPr>
          <w:rFonts w:hint="eastAsia"/>
          <w:b w:val="0"/>
          <w:bCs/>
          <w:sz w:val="24"/>
          <w:szCs w:val="24"/>
          <w:lang w:eastAsia="zh-CN"/>
        </w:rPr>
      </w:pPr>
    </w:p>
    <w:p w14:paraId="3FD8DBD0">
      <w:pPr>
        <w:rPr>
          <w:rFonts w:hint="eastAsia"/>
          <w:b w:val="0"/>
          <w:bCs/>
          <w:sz w:val="24"/>
          <w:szCs w:val="24"/>
          <w:lang w:eastAsia="zh-CN"/>
        </w:rPr>
      </w:pPr>
    </w:p>
    <w:p w14:paraId="5EA63193">
      <w:pPr>
        <w:pStyle w:val="2"/>
        <w:rPr>
          <w:rFonts w:hint="eastAsia"/>
          <w:b w:val="0"/>
          <w:bCs/>
          <w:sz w:val="24"/>
          <w:szCs w:val="24"/>
          <w:lang w:eastAsia="zh-CN"/>
        </w:rPr>
      </w:pPr>
    </w:p>
    <w:p w14:paraId="430F8F3F">
      <w:pPr>
        <w:rPr>
          <w:rFonts w:hint="eastAsia"/>
          <w:lang w:eastAsia="zh-CN"/>
        </w:rPr>
      </w:pPr>
    </w:p>
    <w:p w14:paraId="24D7E5E0">
      <w:pPr>
        <w:jc w:val="left"/>
        <w:rPr>
          <w:rFonts w:hint="eastAsia"/>
          <w:b w:val="0"/>
          <w:bCs/>
          <w:sz w:val="24"/>
          <w:szCs w:val="24"/>
          <w:lang w:eastAsia="zh-CN"/>
        </w:rPr>
      </w:pPr>
    </w:p>
    <w:p w14:paraId="0DB7BC52">
      <w:pPr>
        <w:jc w:val="left"/>
        <w:rPr>
          <w:rFonts w:hint="eastAsia"/>
          <w:b w:val="0"/>
          <w:bCs/>
          <w:sz w:val="24"/>
          <w:szCs w:val="24"/>
          <w:lang w:eastAsia="zh-CN"/>
        </w:rPr>
      </w:pPr>
    </w:p>
    <w:p w14:paraId="7F1417BD">
      <w:pPr>
        <w:jc w:val="left"/>
        <w:rPr>
          <w:rFonts w:hint="eastAsia"/>
          <w:b w:val="0"/>
          <w:bCs/>
          <w:sz w:val="24"/>
          <w:szCs w:val="24"/>
          <w:lang w:eastAsia="zh-CN"/>
        </w:rPr>
      </w:pPr>
    </w:p>
    <w:p w14:paraId="376F27A5">
      <w:pPr>
        <w:pStyle w:val="2"/>
        <w:rPr>
          <w:rFonts w:hint="eastAsia"/>
          <w:lang w:eastAsia="zh-CN"/>
        </w:rPr>
      </w:pPr>
    </w:p>
    <w:p w14:paraId="0EBD4330">
      <w:pPr>
        <w:jc w:val="left"/>
        <w:rPr>
          <w:rFonts w:hint="eastAsia" w:eastAsiaTheme="minorEastAsia"/>
          <w:b w:val="0"/>
          <w:bCs/>
          <w:sz w:val="24"/>
          <w:szCs w:val="24"/>
          <w:lang w:eastAsia="zh-CN"/>
        </w:rPr>
      </w:pPr>
      <w:r>
        <w:rPr>
          <w:rFonts w:hint="eastAsia"/>
          <w:b w:val="0"/>
          <w:bCs/>
          <w:sz w:val="24"/>
          <w:szCs w:val="24"/>
          <w:lang w:eastAsia="zh-CN"/>
        </w:rPr>
        <w:t>附件</w:t>
      </w:r>
    </w:p>
    <w:p w14:paraId="2DF1D5F0">
      <w:pPr>
        <w:ind w:firstLine="2881" w:firstLineChars="1200"/>
        <w:jc w:val="left"/>
        <w:rPr>
          <w:rFonts w:hint="eastAsia"/>
          <w:b/>
          <w:sz w:val="24"/>
          <w:szCs w:val="24"/>
        </w:rPr>
      </w:pPr>
      <w:r>
        <w:rPr>
          <w:rFonts w:hint="eastAsia"/>
          <w:b/>
          <w:sz w:val="24"/>
          <w:szCs w:val="24"/>
        </w:rPr>
        <w:t>廉洁承诺协议书</w:t>
      </w:r>
    </w:p>
    <w:p w14:paraId="60446E7B">
      <w:pPr>
        <w:jc w:val="center"/>
        <w:rPr>
          <w:rFonts w:hint="eastAsia"/>
          <w:b/>
          <w:sz w:val="24"/>
          <w:szCs w:val="24"/>
        </w:rPr>
      </w:pPr>
    </w:p>
    <w:p w14:paraId="5A9A000A">
      <w:pPr>
        <w:ind w:firstLine="600"/>
        <w:rPr>
          <w:rFonts w:hint="eastAsia" w:ascii="仿宋_GB2312" w:hAnsi="宋体" w:eastAsia="仿宋_GB2312"/>
          <w:sz w:val="24"/>
          <w:szCs w:val="24"/>
        </w:rPr>
      </w:pPr>
      <w:r>
        <w:rPr>
          <w:rFonts w:hint="eastAsia" w:ascii="仿宋_GB2312" w:hAnsi="宋体" w:eastAsia="仿宋_GB2312"/>
          <w:sz w:val="24"/>
          <w:szCs w:val="24"/>
        </w:rPr>
        <w:t>为进一步规范医药购销行为，维护正常的医疗秩序和医药产品经营秩序，建立健全防治商业贿赂长效机制，经甲、乙双方协商，同意签订本廉洁承诺协议书并予以共同遵守：</w:t>
      </w:r>
    </w:p>
    <w:p w14:paraId="2AD17BB8">
      <w:pPr>
        <w:ind w:firstLine="480" w:firstLineChars="200"/>
        <w:rPr>
          <w:rFonts w:hint="eastAsia" w:ascii="仿宋_GB2312" w:hAnsi="宋体" w:eastAsia="仿宋_GB2312"/>
          <w:sz w:val="24"/>
          <w:szCs w:val="24"/>
        </w:rPr>
      </w:pPr>
      <w:r>
        <w:rPr>
          <w:rFonts w:hint="eastAsia" w:ascii="仿宋_GB2312" w:hAnsi="宋体" w:eastAsia="仿宋_GB2312"/>
          <w:sz w:val="24"/>
          <w:szCs w:val="24"/>
        </w:rPr>
        <w:t>一、甲方购进医疗器械、医用卫生材料等产品，不得以任何方式向乙方索取回扣，或者索要、收受乙方产品发票价外的赞助，不得要求乙方代支任何费用开支。</w:t>
      </w:r>
      <w:bookmarkStart w:id="0" w:name="_GoBack"/>
      <w:bookmarkEnd w:id="0"/>
    </w:p>
    <w:p w14:paraId="2AE4901A">
      <w:pPr>
        <w:ind w:firstLine="480" w:firstLineChars="200"/>
        <w:rPr>
          <w:rFonts w:hint="eastAsia" w:ascii="仿宋_GB2312" w:hAnsi="宋体" w:eastAsia="仿宋_GB2312"/>
          <w:sz w:val="24"/>
          <w:szCs w:val="24"/>
        </w:rPr>
      </w:pPr>
      <w:r>
        <w:rPr>
          <w:rFonts w:hint="eastAsia" w:ascii="仿宋_GB2312" w:hAnsi="宋体" w:eastAsia="仿宋_GB2312"/>
          <w:sz w:val="24"/>
          <w:szCs w:val="24"/>
        </w:rPr>
        <w:t>二、甲方临床、医技工作人员不得以暗示或其他任何形式索要回扣、提成、有价证券、现金、购物卡等。如甲方工作人员暗示或索要，乙方应予拒绝，并有责任如实向甲方纪检监察部门反映情况 。</w:t>
      </w:r>
    </w:p>
    <w:p w14:paraId="64D42F5F">
      <w:pPr>
        <w:ind w:firstLine="480" w:firstLineChars="200"/>
        <w:rPr>
          <w:rFonts w:hint="eastAsia" w:ascii="仿宋_GB2312" w:hAnsi="宋体" w:eastAsia="仿宋_GB2312"/>
          <w:sz w:val="24"/>
          <w:szCs w:val="24"/>
        </w:rPr>
      </w:pPr>
      <w:r>
        <w:rPr>
          <w:rFonts w:hint="eastAsia" w:ascii="仿宋_GB2312" w:hAnsi="宋体" w:eastAsia="仿宋_GB2312"/>
          <w:sz w:val="24"/>
          <w:szCs w:val="24"/>
        </w:rPr>
        <w:t>三、甲方工作人员不得替乙方非法统计医用耗材销售价格、数量等有关信息。</w:t>
      </w:r>
    </w:p>
    <w:p w14:paraId="08968300">
      <w:pPr>
        <w:ind w:firstLine="480" w:firstLineChars="200"/>
        <w:rPr>
          <w:rFonts w:hint="eastAsia" w:ascii="仿宋_GB2312" w:hAnsi="宋体" w:eastAsia="仿宋_GB2312"/>
          <w:sz w:val="24"/>
          <w:szCs w:val="24"/>
        </w:rPr>
      </w:pPr>
      <w:r>
        <w:rPr>
          <w:rFonts w:hint="eastAsia" w:ascii="仿宋_GB2312" w:hAnsi="宋体" w:eastAsia="仿宋_GB2312"/>
          <w:sz w:val="24"/>
          <w:szCs w:val="24"/>
        </w:rPr>
        <w:t>四、乙方不得暗中给予甲方回扣，不得以提成和赠送有价证券、现金、信用卡、购物卡、宴请、娱乐及提供国内或境外学术活动等手段影响甲方医生的使用医药产品选择权。</w:t>
      </w:r>
    </w:p>
    <w:p w14:paraId="7A9CA156">
      <w:pPr>
        <w:ind w:firstLine="480" w:firstLineChars="200"/>
        <w:rPr>
          <w:rFonts w:hint="eastAsia" w:ascii="仿宋_GB2312" w:hAnsi="宋体" w:eastAsia="仿宋_GB2312"/>
          <w:sz w:val="24"/>
          <w:szCs w:val="24"/>
        </w:rPr>
      </w:pPr>
      <w:r>
        <w:rPr>
          <w:rFonts w:hint="eastAsia" w:ascii="仿宋_GB2312" w:hAnsi="宋体" w:eastAsia="仿宋_GB2312"/>
          <w:sz w:val="24"/>
          <w:szCs w:val="24"/>
        </w:rPr>
        <w:t>五、乙方洽谈业务，必须在工作时间到甲方指定科室联系商谈：不得到临床、医技等科室推销产品；不得借故到甲方主管领导、部门负责人及相关工作人员家中访谈或向介绍人提供任何好处费；不得为甲方人员及其配偶、子女及其他亲属提供各种无偿服务，报销应由其个人承担的费用。</w:t>
      </w:r>
    </w:p>
    <w:p w14:paraId="3E5C5C4A">
      <w:pPr>
        <w:ind w:firstLine="480" w:firstLineChars="200"/>
        <w:rPr>
          <w:rFonts w:hint="eastAsia" w:ascii="仿宋_GB2312" w:hAnsi="宋体" w:eastAsia="仿宋_GB2312"/>
          <w:sz w:val="24"/>
          <w:szCs w:val="24"/>
        </w:rPr>
      </w:pPr>
      <w:r>
        <w:rPr>
          <w:rFonts w:hint="eastAsia" w:ascii="仿宋_GB2312" w:hAnsi="宋体" w:eastAsia="仿宋_GB2312"/>
          <w:sz w:val="24"/>
          <w:szCs w:val="24"/>
        </w:rPr>
        <w:t>六、乙方在销售活动中，要自觉遵守国家和地方的有关法律、法规，严格执行合同条款，不以次充好，不降低产品质量，做到诚信经营。</w:t>
      </w:r>
    </w:p>
    <w:p w14:paraId="3C8EAEC0">
      <w:pPr>
        <w:ind w:firstLine="480" w:firstLineChars="200"/>
        <w:rPr>
          <w:rFonts w:hint="eastAsia" w:ascii="仿宋_GB2312" w:hAnsi="宋体" w:eastAsia="仿宋_GB2312"/>
          <w:sz w:val="24"/>
          <w:szCs w:val="24"/>
        </w:rPr>
      </w:pPr>
      <w:r>
        <w:rPr>
          <w:rFonts w:hint="eastAsia" w:ascii="仿宋_GB2312" w:hAnsi="宋体" w:eastAsia="仿宋_GB2312"/>
          <w:sz w:val="24"/>
          <w:szCs w:val="24"/>
        </w:rPr>
        <w:t>七、甲乙双方应共同遵守商业道德，友好合作，杜绝弄虚作假，商业欺诈，商业贿赂等不道德和非法行为，要规范合同行为，诚实守约，严格履行合同，决不利用非法手段谋取不正当利益，公平公正处理业务。</w:t>
      </w:r>
    </w:p>
    <w:p w14:paraId="0C1472C7">
      <w:pPr>
        <w:ind w:firstLine="480" w:firstLineChars="200"/>
        <w:rPr>
          <w:rFonts w:hint="eastAsia" w:ascii="仿宋_GB2312" w:hAnsi="宋体" w:eastAsia="仿宋_GB2312"/>
          <w:sz w:val="24"/>
          <w:szCs w:val="24"/>
        </w:rPr>
      </w:pPr>
      <w:r>
        <w:rPr>
          <w:rFonts w:hint="eastAsia" w:ascii="仿宋_GB2312" w:hAnsi="宋体" w:eastAsia="仿宋_GB2312"/>
          <w:sz w:val="24"/>
          <w:szCs w:val="24"/>
        </w:rPr>
        <w:t>八、甲方人员违反本协议，情节较轻的，由所在单位对其进行组织或行政处理，情节较重构成违纪的，由纪检监察部门处理；情节严重涉嫌犯罪的，移交司法机关处理。</w:t>
      </w:r>
    </w:p>
    <w:p w14:paraId="5BEA58DB">
      <w:pPr>
        <w:ind w:firstLine="480" w:firstLineChars="200"/>
        <w:rPr>
          <w:rFonts w:hint="eastAsia" w:ascii="仿宋_GB2312" w:hAnsi="宋体" w:eastAsia="仿宋_GB2312"/>
          <w:sz w:val="24"/>
          <w:szCs w:val="24"/>
        </w:rPr>
      </w:pPr>
      <w:r>
        <w:rPr>
          <w:rFonts w:hint="eastAsia" w:ascii="仿宋_GB2312" w:hAnsi="宋体" w:eastAsia="仿宋_GB2312"/>
          <w:sz w:val="24"/>
          <w:szCs w:val="24"/>
        </w:rPr>
        <w:t>九、乙方如违反上述条款，一经发现，甲方有权终止购销合同，列入不良行为记录，计入黑名单，禁止在本院进行医疗器械销售2年以上，造成经济损失的乙方需承担赔偿责任，涉嫌违法的，交由司法机关处理。</w:t>
      </w:r>
    </w:p>
    <w:p w14:paraId="7C7EE1D1">
      <w:pPr>
        <w:ind w:firstLine="480" w:firstLineChars="200"/>
        <w:rPr>
          <w:rFonts w:hint="eastAsia" w:ascii="仿宋_GB2312" w:hAnsi="宋体" w:eastAsia="仿宋_GB2312"/>
          <w:sz w:val="24"/>
          <w:szCs w:val="24"/>
        </w:rPr>
      </w:pPr>
      <w:r>
        <w:rPr>
          <w:rFonts w:hint="eastAsia" w:ascii="仿宋_GB2312" w:hAnsi="宋体" w:eastAsia="仿宋_GB2312"/>
          <w:sz w:val="24"/>
          <w:szCs w:val="24"/>
        </w:rPr>
        <w:t>十、本协议作为合同的附件，随合同签字之日起生效。</w:t>
      </w:r>
    </w:p>
    <w:sectPr>
      <w:footerReference r:id="rId3" w:type="default"/>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59C06370">
        <w:pPr>
          <w:pStyle w:val="6"/>
          <w:jc w:val="center"/>
        </w:pPr>
        <w:sdt>
          <w:sdtPr>
            <w:id w:val="1728636285"/>
          </w:sdtPr>
          <w:sdtContent>
            <w:r>
              <w:rPr>
                <w:rFonts w:hint="eastAsia"/>
              </w:rPr>
              <w:t>第</w:t>
            </w: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w:t>
            </w:r>
            <w:r>
              <w:rPr>
                <w:rFonts w:hint="eastAsia"/>
                <w:lang w:val="zh-CN"/>
              </w:rPr>
              <w:t>页</w:t>
            </w:r>
            <w:r>
              <w:rPr>
                <w:lang w:val="zh-CN"/>
              </w:rPr>
              <w:t>/</w:t>
            </w:r>
            <w:r>
              <w:rPr>
                <w:rFonts w:hint="eastAsia"/>
                <w:lang w:val="zh-CN"/>
              </w:rPr>
              <w:t>共</w:t>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sdtContent>
        </w:sdt>
        <w:r>
          <w:t xml:space="preserve"> </w:t>
        </w:r>
        <w:r>
          <w:rPr>
            <w:rFonts w:hint="eastAsia"/>
          </w:rPr>
          <w:t>页</w:t>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Q5M2MwMWU0YjhmZGM3NjA0MjkwNTg4MDkxNTJhMmQifQ=="/>
  </w:docVars>
  <w:rsids>
    <w:rsidRoot w:val="001C7851"/>
    <w:rsid w:val="00083007"/>
    <w:rsid w:val="00097636"/>
    <w:rsid w:val="000C2F73"/>
    <w:rsid w:val="000E2F10"/>
    <w:rsid w:val="000F344B"/>
    <w:rsid w:val="0011441B"/>
    <w:rsid w:val="00170B72"/>
    <w:rsid w:val="001C7851"/>
    <w:rsid w:val="002436DA"/>
    <w:rsid w:val="002779F2"/>
    <w:rsid w:val="00287951"/>
    <w:rsid w:val="00324039"/>
    <w:rsid w:val="003A3BDB"/>
    <w:rsid w:val="003D27C5"/>
    <w:rsid w:val="003D5E63"/>
    <w:rsid w:val="00431D80"/>
    <w:rsid w:val="0046250C"/>
    <w:rsid w:val="00470CAE"/>
    <w:rsid w:val="004A7110"/>
    <w:rsid w:val="004B3360"/>
    <w:rsid w:val="004C76ED"/>
    <w:rsid w:val="00533184"/>
    <w:rsid w:val="0053755B"/>
    <w:rsid w:val="00542579"/>
    <w:rsid w:val="005B301F"/>
    <w:rsid w:val="005B547B"/>
    <w:rsid w:val="005D3C8E"/>
    <w:rsid w:val="005E2E6E"/>
    <w:rsid w:val="005E72A0"/>
    <w:rsid w:val="005F38E2"/>
    <w:rsid w:val="006A34D8"/>
    <w:rsid w:val="00714824"/>
    <w:rsid w:val="0071602B"/>
    <w:rsid w:val="00770212"/>
    <w:rsid w:val="00773D58"/>
    <w:rsid w:val="007A2837"/>
    <w:rsid w:val="007E455E"/>
    <w:rsid w:val="007F208C"/>
    <w:rsid w:val="008330E0"/>
    <w:rsid w:val="008334A7"/>
    <w:rsid w:val="008D7214"/>
    <w:rsid w:val="008E1D76"/>
    <w:rsid w:val="00903260"/>
    <w:rsid w:val="009036DB"/>
    <w:rsid w:val="00914643"/>
    <w:rsid w:val="0091513F"/>
    <w:rsid w:val="00943547"/>
    <w:rsid w:val="00947E46"/>
    <w:rsid w:val="00947E6B"/>
    <w:rsid w:val="00992AB6"/>
    <w:rsid w:val="009B6A31"/>
    <w:rsid w:val="009D7759"/>
    <w:rsid w:val="009F1AE2"/>
    <w:rsid w:val="00A3068C"/>
    <w:rsid w:val="00A37B25"/>
    <w:rsid w:val="00A564E0"/>
    <w:rsid w:val="00A74ACB"/>
    <w:rsid w:val="00A81F60"/>
    <w:rsid w:val="00A82854"/>
    <w:rsid w:val="00A923AF"/>
    <w:rsid w:val="00AE1B5C"/>
    <w:rsid w:val="00B30421"/>
    <w:rsid w:val="00BB68F2"/>
    <w:rsid w:val="00BC35F3"/>
    <w:rsid w:val="00BC55ED"/>
    <w:rsid w:val="00BD71A5"/>
    <w:rsid w:val="00BD7786"/>
    <w:rsid w:val="00C85B9B"/>
    <w:rsid w:val="00CB4838"/>
    <w:rsid w:val="00CE17DD"/>
    <w:rsid w:val="00D55731"/>
    <w:rsid w:val="00DE27F5"/>
    <w:rsid w:val="00DF13D5"/>
    <w:rsid w:val="00E11660"/>
    <w:rsid w:val="00E560C4"/>
    <w:rsid w:val="00EA0F57"/>
    <w:rsid w:val="00F10EFC"/>
    <w:rsid w:val="00FF5EA6"/>
    <w:rsid w:val="02B440CC"/>
    <w:rsid w:val="03BD5BB2"/>
    <w:rsid w:val="08EF05D7"/>
    <w:rsid w:val="0DAE18F2"/>
    <w:rsid w:val="10AF381D"/>
    <w:rsid w:val="16A014C4"/>
    <w:rsid w:val="1B7E3953"/>
    <w:rsid w:val="1D9132D5"/>
    <w:rsid w:val="21E80794"/>
    <w:rsid w:val="22C45AF3"/>
    <w:rsid w:val="24B31B79"/>
    <w:rsid w:val="29925B26"/>
    <w:rsid w:val="2A3744DD"/>
    <w:rsid w:val="2C174EA8"/>
    <w:rsid w:val="2C754A5A"/>
    <w:rsid w:val="3425012D"/>
    <w:rsid w:val="36722EA8"/>
    <w:rsid w:val="385B52F0"/>
    <w:rsid w:val="3D011F98"/>
    <w:rsid w:val="504A2EF1"/>
    <w:rsid w:val="5A04713E"/>
    <w:rsid w:val="5B050A57"/>
    <w:rsid w:val="5DE43379"/>
    <w:rsid w:val="5F570EFF"/>
    <w:rsid w:val="5FAA79B6"/>
    <w:rsid w:val="6353180D"/>
    <w:rsid w:val="67EF3769"/>
    <w:rsid w:val="68751207"/>
    <w:rsid w:val="6A880C15"/>
    <w:rsid w:val="6C092392"/>
    <w:rsid w:val="70473218"/>
    <w:rsid w:val="71E5A66B"/>
    <w:rsid w:val="7A720448"/>
    <w:rsid w:val="7B3F4007"/>
    <w:rsid w:val="F2DBA226"/>
    <w:rsid w:val="F37F9B2F"/>
    <w:rsid w:val="FECFDC23"/>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pPr>
      <w:widowControl w:val="0"/>
      <w:jc w:val="both"/>
    </w:pPr>
    <w:rPr>
      <w:kern w:val="2"/>
      <w:sz w:val="28"/>
    </w:rPr>
  </w:style>
  <w:style w:type="paragraph" w:styleId="4">
    <w:name w:val="annotation text"/>
    <w:basedOn w:val="1"/>
    <w:link w:val="19"/>
    <w:unhideWhenUsed/>
    <w:qFormat/>
    <w:uiPriority w:val="99"/>
    <w:pPr>
      <w:jc w:val="left"/>
    </w:pPr>
  </w:style>
  <w:style w:type="paragraph" w:styleId="5">
    <w:name w:val="Balloon Text"/>
    <w:basedOn w:val="1"/>
    <w:link w:val="17"/>
    <w:unhideWhenUsed/>
    <w:qFormat/>
    <w:uiPriority w:val="99"/>
    <w:rPr>
      <w:sz w:val="18"/>
      <w:szCs w:val="18"/>
    </w:r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20"/>
    <w:unhideWhenUsed/>
    <w:qFormat/>
    <w:uiPriority w:val="99"/>
    <w:rPr>
      <w:b/>
      <w:bCs/>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annotation reference"/>
    <w:basedOn w:val="11"/>
    <w:unhideWhenUsed/>
    <w:qFormat/>
    <w:uiPriority w:val="99"/>
    <w:rPr>
      <w:sz w:val="21"/>
      <w:szCs w:val="21"/>
    </w:rPr>
  </w:style>
  <w:style w:type="character" w:customStyle="1" w:styleId="14">
    <w:name w:val="页眉 字符"/>
    <w:basedOn w:val="11"/>
    <w:link w:val="7"/>
    <w:qFormat/>
    <w:uiPriority w:val="99"/>
    <w:rPr>
      <w:sz w:val="18"/>
      <w:szCs w:val="18"/>
    </w:rPr>
  </w:style>
  <w:style w:type="character" w:customStyle="1" w:styleId="15">
    <w:name w:val="页脚 字符"/>
    <w:basedOn w:val="11"/>
    <w:link w:val="6"/>
    <w:qFormat/>
    <w:uiPriority w:val="99"/>
    <w:rPr>
      <w:sz w:val="18"/>
      <w:szCs w:val="18"/>
    </w:rPr>
  </w:style>
  <w:style w:type="paragraph" w:customStyle="1" w:styleId="16">
    <w:name w:val="List Paragraph"/>
    <w:basedOn w:val="1"/>
    <w:qFormat/>
    <w:uiPriority w:val="34"/>
    <w:pPr>
      <w:ind w:firstLine="420" w:firstLineChars="200"/>
    </w:pPr>
  </w:style>
  <w:style w:type="character" w:customStyle="1" w:styleId="17">
    <w:name w:val="批注框文本 字符"/>
    <w:basedOn w:val="11"/>
    <w:link w:val="5"/>
    <w:semiHidden/>
    <w:qFormat/>
    <w:uiPriority w:val="99"/>
    <w:rPr>
      <w:kern w:val="2"/>
      <w:sz w:val="18"/>
      <w:szCs w:val="18"/>
    </w:rPr>
  </w:style>
  <w:style w:type="paragraph" w:customStyle="1" w:styleId="18">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9">
    <w:name w:val="批注文字 字符"/>
    <w:basedOn w:val="11"/>
    <w:link w:val="4"/>
    <w:semiHidden/>
    <w:qFormat/>
    <w:uiPriority w:val="99"/>
    <w:rPr>
      <w:kern w:val="2"/>
      <w:sz w:val="21"/>
      <w:szCs w:val="22"/>
    </w:rPr>
  </w:style>
  <w:style w:type="character" w:customStyle="1" w:styleId="20">
    <w:name w:val="批注主题 字符"/>
    <w:basedOn w:val="19"/>
    <w:link w:val="8"/>
    <w:semiHidden/>
    <w:qFormat/>
    <w:uiPriority w:val="99"/>
    <w:rPr>
      <w:b/>
      <w:bCs/>
      <w:kern w:val="2"/>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3691</Words>
  <Characters>3736</Characters>
  <Lines>58</Lines>
  <Paragraphs>66</Paragraphs>
  <TotalTime>5</TotalTime>
  <ScaleCrop>false</ScaleCrop>
  <LinksUpToDate>false</LinksUpToDate>
  <CharactersWithSpaces>3927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2025-09-25T02:57:00Z</dcterms:created>
  <dc:creator>广中医一附院</dc:creator>
  <cp:lastModifiedBy>陈文斌</cp:lastModifiedBy>
  <cp:lastPrinted>2026-05-18T06:43:07Z</cp:lastPrinted>
  <dcterms:modified xsi:type="dcterms:W3CDTF">2026-05-18T06:45:26Z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7C6D5AD3C660423EAC6C4F6F226CE8D9</vt:lpwstr>
  </property>
  <property fmtid="{D5CDD505-2E9C-101B-9397-08002B2CF9AE}" pid="4" name="KSOTemplateDocerSaveRecord">
    <vt:lpwstr>eyJoZGlkIjoiYjcwMjU1YWY5NTVkZmMzZDQ5ODc4NjRiMWUyNDExZTMiLCJ1c2VySWQiOiI0Njc1NzA4ODgifQ==</vt:lpwstr>
  </property>
</Properties>
</file>